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520449</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b/>
          <w:sz w:val="24"/>
          <w:szCs w:val="24"/>
          <w:highlight w:val="none"/>
          <w:lang w:eastAsia="zh-CN"/>
        </w:rPr>
        <w:t>Dallas, USA, Nov. 17-21</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2025</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9</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general aspects for enhancement on AI/ML for NR air interface</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71FC8BC">
            <w:pPr>
              <w:spacing w:after="0"/>
              <w:rPr>
                <w:rFonts w:hint="default" w:ascii="Times New Roman" w:hAnsi="Times New Roman" w:cs="Times New Roman"/>
                <w:bCs/>
                <w:sz w:val="20"/>
                <w:szCs w:val="20"/>
                <w:lang w:val="en-US"/>
              </w:rPr>
            </w:pPr>
            <w:r>
              <w:rPr>
                <w:rFonts w:hint="default" w:ascii="Times New Roman" w:hAnsi="Times New Roman" w:cs="Times New Roman"/>
                <w:b/>
                <w:color w:val="0000FF"/>
                <w:sz w:val="20"/>
                <w:szCs w:val="20"/>
                <w:lang w:val="en-US"/>
              </w:rPr>
              <w:t>Inter-vendor training collaboration</w:t>
            </w:r>
            <w:r>
              <w:rPr>
                <w:rFonts w:hint="default" w:ascii="Times New Roman" w:hAnsi="Times New Roman" w:cs="Times New Roman"/>
                <w:bCs/>
                <w:color w:val="0000FF"/>
                <w:sz w:val="20"/>
                <w:szCs w:val="20"/>
                <w:lang w:val="en-US"/>
              </w:rPr>
              <w:t xml:space="preserve"> </w:t>
            </w:r>
            <w:r>
              <w:rPr>
                <w:rFonts w:hint="default" w:ascii="Times New Roman" w:hAnsi="Times New Roman" w:cs="Times New Roman"/>
                <w:bCs/>
                <w:sz w:val="20"/>
                <w:szCs w:val="20"/>
                <w:lang w:val="en-US"/>
              </w:rPr>
              <w:t xml:space="preserve">for two-sided AI/ML models </w:t>
            </w:r>
          </w:p>
          <w:p w14:paraId="7964AD3C">
            <w:pPr>
              <w:pStyle w:val="16"/>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Fully defined/specified reference model (“Direction C”) with RAN1 scalability study outcome taken into account [RAN4/RAN1] – check-point in RAN#110 upon RAN4 feedback</w:t>
            </w:r>
          </w:p>
          <w:p w14:paraId="2656C7F1">
            <w:pPr>
              <w:pStyle w:val="16"/>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A4126D0">
            <w:pPr>
              <w:pStyle w:val="16"/>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Specification of standardized dataset format/content plus dataset exchange (“Direction A, sub-option 4-1”) [RAN1/RAN2/RAN3/RAN4] – check-point in RAN#110 upon SA WG feedback</w:t>
            </w:r>
          </w:p>
          <w:p w14:paraId="197FAE04">
            <w:pPr>
              <w:spacing w:after="0"/>
              <w:rPr>
                <w:rFonts w:hint="default" w:ascii="Times New Roman" w:hAnsi="Times New Roman" w:cs="Times New Roman"/>
                <w:bCs/>
                <w:sz w:val="20"/>
                <w:szCs w:val="20"/>
                <w:lang w:val="en-US"/>
              </w:rPr>
            </w:pPr>
            <w:r>
              <w:rPr>
                <w:rFonts w:hint="default" w:ascii="Times New Roman" w:hAnsi="Times New Roman" w:cs="Times New Roman"/>
                <w:b/>
                <w:color w:val="0000FF"/>
                <w:sz w:val="20"/>
                <w:szCs w:val="20"/>
                <w:lang w:val="en-US"/>
              </w:rPr>
              <w:t>Interoperability and RRM requirement</w:t>
            </w:r>
            <w:r>
              <w:rPr>
                <w:rFonts w:hint="default" w:ascii="Times New Roman" w:hAnsi="Times New Roman" w:cs="Times New Roman"/>
                <w:bCs/>
                <w:color w:val="0000FF"/>
                <w:sz w:val="20"/>
                <w:szCs w:val="20"/>
                <w:lang w:val="en-US"/>
              </w:rPr>
              <w:t xml:space="preserve"> </w:t>
            </w:r>
            <w:r>
              <w:rPr>
                <w:rFonts w:hint="default" w:ascii="Times New Roman" w:hAnsi="Times New Roman" w:cs="Times New Roman"/>
                <w:bCs/>
                <w:sz w:val="20"/>
                <w:szCs w:val="20"/>
                <w:lang w:val="en-US"/>
              </w:rPr>
              <w:t>[RAN4]:</w:t>
            </w:r>
          </w:p>
          <w:p w14:paraId="52438B52">
            <w:pPr>
              <w:pStyle w:val="16"/>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0444A7A7">
            <w:pPr>
              <w:pStyle w:val="16"/>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58E0637E">
            <w:pPr>
              <w:pStyle w:val="16"/>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57F972ED">
            <w:pPr>
              <w:pStyle w:val="16"/>
              <w:numPr>
                <w:ilvl w:val="0"/>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347D2E4C">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522FAE90">
      <w:pPr>
        <w:spacing w:before="180" w:after="180" w:line="240" w:lineRule="exact"/>
        <w:rPr>
          <w:rFonts w:hint="eastAsia" w:ascii="Times New Roman" w:hAnsi="Times New Roman"/>
          <w:sz w:val="20"/>
          <w:szCs w:val="20"/>
          <w:lang w:val="en-US" w:eastAsia="zh-CN"/>
        </w:rPr>
      </w:pPr>
    </w:p>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w:t>
      </w:r>
      <w:r>
        <w:rPr>
          <w:rFonts w:hint="eastAsia" w:ascii="Times New Roman" w:hAnsi="Times New Roman"/>
          <w:sz w:val="20"/>
          <w:szCs w:val="20"/>
          <w:lang w:val="en-US" w:eastAsia="zh-CN"/>
        </w:rPr>
        <w:t xml:space="preserve">further </w:t>
      </w:r>
      <w:r>
        <w:rPr>
          <w:rFonts w:hint="eastAsia" w:ascii="Times New Roman" w:hAnsi="Times New Roman"/>
          <w:sz w:val="20"/>
          <w:szCs w:val="20"/>
        </w:rPr>
        <w:t xml:space="preserve">discussion on </w:t>
      </w:r>
      <w:r>
        <w:rPr>
          <w:rFonts w:hint="eastAsia" w:ascii="Times New Roman" w:hAnsi="Times New Roman"/>
          <w:sz w:val="20"/>
          <w:szCs w:val="20"/>
          <w:lang w:val="en-US" w:eastAsia="zh-CN"/>
        </w:rPr>
        <w:t>this topic</w:t>
      </w:r>
      <w:r>
        <w:rPr>
          <w:rFonts w:hint="eastAsia" w:ascii="Times New Roman" w:hAnsi="Times New Roman"/>
          <w:sz w:val="20"/>
          <w:szCs w:val="20"/>
        </w:rPr>
        <w:t>.</w:t>
      </w:r>
    </w:p>
    <w:p w14:paraId="46E18B0E">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p w14:paraId="535F4D8B">
      <w:pPr>
        <w:spacing w:after="180" w:line="240" w:lineRule="exact"/>
        <w:rPr>
          <w:rFonts w:hint="default" w:ascii="Times New Roman" w:hAnsi="Times New Roman" w:cs="Times New Roman"/>
          <w:sz w:val="20"/>
          <w:szCs w:val="20"/>
          <w:u w:val="none"/>
          <w:lang w:val="en-US" w:eastAsia="zh-CN"/>
        </w:rPr>
      </w:pPr>
      <w:r>
        <w:rPr>
          <w:rFonts w:hint="default" w:ascii="Times New Roman" w:hAnsi="Times New Roman" w:cs="Times New Roman"/>
          <w:bCs/>
          <w:sz w:val="20"/>
          <w:szCs w:val="20"/>
          <w:u w:val="none"/>
          <w:lang w:val="en-US" w:eastAsia="zh-CN"/>
        </w:rPr>
        <w:t>The s</w:t>
      </w:r>
      <w:r>
        <w:rPr>
          <w:rFonts w:hint="default" w:ascii="Times New Roman" w:hAnsi="Times New Roman" w:cs="Times New Roman"/>
          <w:sz w:val="20"/>
          <w:szCs w:val="20"/>
          <w:u w:val="none"/>
          <w:lang w:eastAsia="zh-CN"/>
        </w:rPr>
        <w:t>teps to develop the test decoder and reference encoder</w:t>
      </w:r>
      <w:r>
        <w:rPr>
          <w:rFonts w:hint="default" w:ascii="Times New Roman" w:hAnsi="Times New Roman" w:cs="Times New Roman"/>
          <w:sz w:val="20"/>
          <w:szCs w:val="20"/>
          <w:u w:val="none"/>
          <w:lang w:val="en-US" w:eastAsia="zh-CN"/>
        </w:rPr>
        <w:t xml:space="preserve"> are agreed as following:</w:t>
      </w:r>
    </w:p>
    <w:p w14:paraId="528A3035">
      <w:pPr>
        <w:pStyle w:val="16"/>
        <w:numPr>
          <w:ilvl w:val="0"/>
          <w:numId w:val="6"/>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Step 1:  Create dataset</w:t>
      </w:r>
    </w:p>
    <w:p w14:paraId="1A683E2B">
      <w:pPr>
        <w:pStyle w:val="16"/>
        <w:numPr>
          <w:ilvl w:val="1"/>
          <w:numId w:val="6"/>
        </w:numPr>
        <w:spacing w:before="120" w:after="120"/>
        <w:ind w:firstLineChars="0"/>
        <w:rPr>
          <w:rFonts w:hint="default" w:ascii="Times New Roman" w:hAnsi="Times New Roman" w:eastAsia="宋体" w:cs="Times New Roman"/>
          <w:sz w:val="20"/>
          <w:szCs w:val="20"/>
        </w:rPr>
      </w:pPr>
      <w:r>
        <w:rPr>
          <w:rFonts w:hint="default" w:ascii="Times New Roman" w:hAnsi="Times New Roman" w:eastAsia="Yu Mincho" w:cs="Times New Roman"/>
          <w:sz w:val="20"/>
          <w:szCs w:val="20"/>
        </w:rPr>
        <w:t>Step 1-1: Align on configurations for mixed dataset construction, taking factors such as scalability over Tx port number and subband size and payload size into account</w:t>
      </w:r>
    </w:p>
    <w:p w14:paraId="2C25B417">
      <w:pPr>
        <w:pStyle w:val="16"/>
        <w:numPr>
          <w:ilvl w:val="1"/>
          <w:numId w:val="6"/>
        </w:numPr>
        <w:spacing w:before="120" w:after="120"/>
        <w:ind w:firstLineChars="0"/>
        <w:rPr>
          <w:rFonts w:hint="default" w:ascii="Times New Roman" w:hAnsi="Times New Roman" w:eastAsia="宋体" w:cs="Times New Roman"/>
          <w:sz w:val="20"/>
          <w:szCs w:val="20"/>
        </w:rPr>
      </w:pPr>
      <w:r>
        <w:rPr>
          <w:rFonts w:hint="default" w:ascii="Times New Roman" w:hAnsi="Times New Roman" w:eastAsia="Yu Mincho" w:cs="Times New Roman"/>
          <w:sz w:val="20"/>
          <w:szCs w:val="20"/>
        </w:rPr>
        <w:t>Step 1-2 Decide how align and on which metrics can be used for evaluating dataset alignment, if any</w:t>
      </w:r>
    </w:p>
    <w:p w14:paraId="3D7AA03C">
      <w:pPr>
        <w:pStyle w:val="16"/>
        <w:numPr>
          <w:ilvl w:val="1"/>
          <w:numId w:val="6"/>
        </w:numPr>
        <w:spacing w:before="120" w:after="120"/>
        <w:ind w:firstLineChars="0"/>
        <w:rPr>
          <w:rFonts w:hint="default" w:ascii="Times New Roman" w:hAnsi="Times New Roman" w:eastAsia="宋体" w:cs="Times New Roman"/>
          <w:sz w:val="20"/>
          <w:szCs w:val="20"/>
        </w:rPr>
      </w:pPr>
      <w:r>
        <w:rPr>
          <w:rFonts w:hint="default" w:ascii="Times New Roman" w:hAnsi="Times New Roman" w:eastAsia="Yu Mincho" w:cs="Times New Roman"/>
          <w:sz w:val="20"/>
          <w:szCs w:val="20"/>
        </w:rPr>
        <w:t>Step 1-3 Companies create datasets</w:t>
      </w:r>
    </w:p>
    <w:p w14:paraId="2461FB62">
      <w:pPr>
        <w:pStyle w:val="16"/>
        <w:numPr>
          <w:ilvl w:val="1"/>
          <w:numId w:val="6"/>
        </w:numPr>
        <w:spacing w:before="120"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Step 1-4 Identify which company datasets to include in the mixed dataset(s)</w:t>
      </w:r>
    </w:p>
    <w:p w14:paraId="5DF5B36B">
      <w:pPr>
        <w:pStyle w:val="16"/>
        <w:numPr>
          <w:ilvl w:val="1"/>
          <w:numId w:val="6"/>
        </w:numPr>
        <w:spacing w:before="120" w:after="120"/>
        <w:ind w:firstLineChars="0"/>
        <w:rPr>
          <w:rFonts w:hint="default" w:ascii="Times New Roman" w:hAnsi="Times New Roman" w:eastAsia="宋体" w:cs="Times New Roman"/>
          <w:sz w:val="20"/>
          <w:szCs w:val="20"/>
        </w:rPr>
      </w:pPr>
      <w:r>
        <w:rPr>
          <w:rFonts w:hint="default" w:ascii="Times New Roman" w:hAnsi="Times New Roman" w:eastAsia="Yu Mincho" w:cs="Times New Roman"/>
          <w:sz w:val="20"/>
          <w:szCs w:val="20"/>
        </w:rPr>
        <w:t>Step 1-5 Create new dataset(s)</w:t>
      </w:r>
    </w:p>
    <w:p w14:paraId="35F10163">
      <w:pPr>
        <w:pStyle w:val="16"/>
        <w:numPr>
          <w:ilvl w:val="0"/>
          <w:numId w:val="6"/>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Step 2: Align on the model backbone, model hyperparameters and the scalability solution. </w:t>
      </w:r>
    </w:p>
    <w:p w14:paraId="79CF13EB">
      <w:pPr>
        <w:pStyle w:val="16"/>
        <w:numPr>
          <w:ilvl w:val="1"/>
          <w:numId w:val="6"/>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 xml:space="preserve">Step 2-1: Proposed model structures (model backbone and model hyperparameters) are brought by companies, as well as proposed scalability solution. </w:t>
      </w:r>
    </w:p>
    <w:p w14:paraId="183C2039">
      <w:pPr>
        <w:pStyle w:val="16"/>
        <w:numPr>
          <w:ilvl w:val="2"/>
          <w:numId w:val="6"/>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 xml:space="preserve">This can be in parallel with step 1. </w:t>
      </w:r>
    </w:p>
    <w:p w14:paraId="55ACFC4E">
      <w:pPr>
        <w:pStyle w:val="16"/>
        <w:numPr>
          <w:ilvl w:val="2"/>
          <w:numId w:val="6"/>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Transformer is agreed as baseline for backbone</w:t>
      </w:r>
    </w:p>
    <w:p w14:paraId="68580EC1">
      <w:pPr>
        <w:pStyle w:val="16"/>
        <w:numPr>
          <w:ilvl w:val="2"/>
          <w:numId w:val="6"/>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Same backbone for test decoder and reference encoder</w:t>
      </w:r>
    </w:p>
    <w:p w14:paraId="153AFAD3">
      <w:pPr>
        <w:pStyle w:val="16"/>
        <w:numPr>
          <w:ilvl w:val="1"/>
          <w:numId w:val="6"/>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2-2: Preliminary selection of structures, taking into account complexity</w:t>
      </w:r>
    </w:p>
    <w:p w14:paraId="12B53C09">
      <w:pPr>
        <w:pStyle w:val="16"/>
        <w:numPr>
          <w:ilvl w:val="1"/>
          <w:numId w:val="6"/>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2-2a Align on training parameters]</w:t>
      </w:r>
    </w:p>
    <w:p w14:paraId="4DCCCE68">
      <w:pPr>
        <w:pStyle w:val="16"/>
        <w:numPr>
          <w:ilvl w:val="1"/>
          <w:numId w:val="6"/>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2-3: Agree on metrics and steps for evaluation</w:t>
      </w:r>
    </w:p>
    <w:p w14:paraId="45173AE8">
      <w:pPr>
        <w:pStyle w:val="16"/>
        <w:numPr>
          <w:ilvl w:val="1"/>
          <w:numId w:val="6"/>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2-4: Check on performance alignment -&gt; see simulation results from contributing companies.</w:t>
      </w:r>
    </w:p>
    <w:p w14:paraId="273BA8EE">
      <w:pPr>
        <w:pStyle w:val="16"/>
        <w:numPr>
          <w:ilvl w:val="1"/>
          <w:numId w:val="6"/>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2-5: Share models (encoder or decoder or both)/datasets (training/testing/inference), if needed.</w:t>
      </w:r>
    </w:p>
    <w:p w14:paraId="36CC735A">
      <w:pPr>
        <w:pStyle w:val="16"/>
        <w:numPr>
          <w:ilvl w:val="1"/>
          <w:numId w:val="6"/>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2-6: Select one or more model structures considering complexity and robustness and decide how many models.</w:t>
      </w:r>
    </w:p>
    <w:p w14:paraId="5C7202B5">
      <w:pPr>
        <w:pStyle w:val="16"/>
        <w:numPr>
          <w:ilvl w:val="1"/>
          <w:numId w:val="6"/>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Step 2-7: Select one or more scalability solutions. This step can be done in parallel with Steps 2-2 to 2-4.</w:t>
      </w:r>
    </w:p>
    <w:p w14:paraId="1CDED0BE">
      <w:pPr>
        <w:pStyle w:val="16"/>
        <w:numPr>
          <w:ilvl w:val="0"/>
          <w:numId w:val="6"/>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Step 3: Specify the model for the following work in WID. Where and how to specify may need further discussion.</w:t>
      </w:r>
    </w:p>
    <w:p w14:paraId="2AFACD96">
      <w:pPr>
        <w:pStyle w:val="16"/>
        <w:spacing w:before="120" w:after="120"/>
        <w:ind w:left="936" w:firstLine="0"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Note: At this stage, models using the agreed structures, dataset, scalability have already been created by most companies</w:t>
      </w:r>
    </w:p>
    <w:p w14:paraId="72ADAEAF">
      <w:pPr>
        <w:pStyle w:val="16"/>
        <w:numPr>
          <w:ilvl w:val="1"/>
          <w:numId w:val="6"/>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3-1 Decide how to select from the trained model(s) from each company</w:t>
      </w:r>
    </w:p>
    <w:p w14:paraId="0C135C73">
      <w:pPr>
        <w:pStyle w:val="16"/>
        <w:numPr>
          <w:ilvl w:val="1"/>
          <w:numId w:val="6"/>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3-2: Freeze model(s)</w:t>
      </w:r>
    </w:p>
    <w:p w14:paraId="5DCE5868">
      <w:pPr>
        <w:pStyle w:val="16"/>
        <w:numPr>
          <w:ilvl w:val="1"/>
          <w:numId w:val="6"/>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3-3: Agree on how and where to capture the models, the dataset and relevant information</w:t>
      </w:r>
    </w:p>
    <w:p w14:paraId="3161088C">
      <w:pPr>
        <w:spacing w:after="180" w:line="240" w:lineRule="exact"/>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According to the discussion in last meeting, one of the open issues is that RAN4 will discuss how to introduce the new mixed dataset for model structure evaluation purpose, by taking into consideration of the scalability and/or various configurations. </w:t>
      </w:r>
    </w:p>
    <w:p w14:paraId="5CEAD09B">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cs="Times New Roman"/>
          <w:bCs/>
          <w:sz w:val="20"/>
          <w:szCs w:val="20"/>
          <w:lang w:val="en-US" w:eastAsia="zh-CN"/>
        </w:rPr>
        <w:t xml:space="preserve">It was agreed that unless the significant issues are identified, RAN4 is going to only discuss the scalability issues and options, which have been agreed in RAN1. </w:t>
      </w:r>
      <w:r>
        <w:rPr>
          <w:rFonts w:hint="default" w:ascii="Times New Roman" w:hAnsi="Times New Roman" w:eastAsia="等线"/>
          <w:bCs/>
          <w:iCs/>
          <w:sz w:val="20"/>
          <w:szCs w:val="20"/>
          <w:lang w:val="en-US" w:eastAsia="zh-CN"/>
        </w:rPr>
        <w:t>For the model structure feasibility study of Case 0 with precoding matrix in spatial-frequency domain as input, following alternatives on scaling over token dimension (e.g., number of subbands, number of Tx ports, or combination thereof), feature dimension (e.g., number of Tx ports, number of subbands, or combination thereof), and payload configurations are studied</w:t>
      </w:r>
      <w:r>
        <w:rPr>
          <w:rFonts w:hint="eastAsia" w:ascii="Times New Roman" w:hAnsi="Times New Roman" w:eastAsia="等线"/>
          <w:bCs/>
          <w:iCs/>
          <w:sz w:val="20"/>
          <w:szCs w:val="20"/>
          <w:lang w:val="en-US" w:eastAsia="zh-CN"/>
        </w:rPr>
        <w:t xml:space="preserve"> in RAN1</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2C9A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AB1DACB">
            <w:pPr>
              <w:spacing w:after="180" w:line="240" w:lineRule="exact"/>
              <w:rPr>
                <w:rFonts w:hint="default" w:ascii="Times New Roman" w:hAnsi="Times New Roman" w:eastAsia="等线" w:cs="Times New Roman"/>
                <w:b/>
                <w:bCs/>
                <w:i w:val="0"/>
                <w:iCs w:val="0"/>
                <w:sz w:val="20"/>
                <w:szCs w:val="20"/>
                <w:vertAlign w:val="baseline"/>
                <w:lang w:val="en-US" w:eastAsia="zh-CN"/>
              </w:rPr>
            </w:pPr>
            <w:r>
              <w:rPr>
                <w:rFonts w:hint="default" w:ascii="Times New Roman" w:hAnsi="Times New Roman" w:eastAsia="等线" w:cs="Times New Roman"/>
                <w:b/>
                <w:bCs/>
                <w:i w:val="0"/>
                <w:iCs w:val="0"/>
                <w:sz w:val="20"/>
                <w:szCs w:val="20"/>
                <w:vertAlign w:val="baseline"/>
                <w:lang w:val="en-US" w:eastAsia="zh-CN"/>
              </w:rPr>
              <w:t>Agreements in RAN1#120 meeting</w:t>
            </w:r>
          </w:p>
          <w:p w14:paraId="6377BFAE">
            <w:pPr>
              <w:ind w:left="0" w:firstLine="0"/>
              <w:rPr>
                <w:rFonts w:hint="default" w:ascii="Times New Roman" w:hAnsi="Times New Roman" w:eastAsia="等线" w:cs="Times New Roman"/>
                <w:i w:val="0"/>
                <w:iCs w:val="0"/>
                <w:sz w:val="20"/>
                <w:szCs w:val="20"/>
                <w:highlight w:val="green"/>
                <w:lang w:eastAsia="zh-CN"/>
              </w:rPr>
            </w:pPr>
            <w:r>
              <w:rPr>
                <w:rFonts w:hint="default" w:ascii="Times New Roman" w:hAnsi="Times New Roman" w:eastAsia="等线" w:cs="Times New Roman"/>
                <w:i w:val="0"/>
                <w:iCs w:val="0"/>
                <w:sz w:val="20"/>
                <w:szCs w:val="20"/>
                <w:highlight w:val="green"/>
                <w:lang w:eastAsia="zh-CN"/>
              </w:rPr>
              <w:t>Agreement</w:t>
            </w:r>
          </w:p>
          <w:p w14:paraId="04017212">
            <w:pPr>
              <w:spacing w:after="160" w:line="276" w:lineRule="auto"/>
              <w:ind w:left="0" w:firstLine="0"/>
              <w:contextualSpacing/>
              <w:rPr>
                <w:rFonts w:hint="default" w:ascii="Times New Roman" w:hAnsi="Times New Roman" w:cs="Times New Roman"/>
                <w:i w:val="0"/>
                <w:iCs w:val="0"/>
                <w:color w:val="0070C0"/>
                <w:sz w:val="20"/>
                <w:szCs w:val="20"/>
              </w:rPr>
            </w:pPr>
            <w:bookmarkStart w:id="8" w:name="_Hlk190955173"/>
            <w:r>
              <w:rPr>
                <w:rFonts w:hint="default" w:ascii="Times New Roman" w:hAnsi="Times New Roman" w:cs="Times New Roman"/>
                <w:i w:val="0"/>
                <w:iCs w:val="0"/>
                <w:color w:val="0070C0"/>
                <w:sz w:val="20"/>
                <w:szCs w:val="20"/>
              </w:rPr>
              <w:t>For model structure scalability study for temporal domain Case 0,</w:t>
            </w:r>
          </w:p>
          <w:p w14:paraId="4681D9AE">
            <w:pPr>
              <w:numPr>
                <w:ilvl w:val="0"/>
                <w:numId w:val="7"/>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For the choice of token dimension and feature dimension,</w:t>
            </w:r>
          </w:p>
          <w:p w14:paraId="7E88CA70">
            <w:pPr>
              <w:numPr>
                <w:ilvl w:val="1"/>
                <w:numId w:val="7"/>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Alt 1: Use subband as the token dimension and Tx port as a feature dimension</w:t>
            </w:r>
          </w:p>
          <w:p w14:paraId="60CB2FE9">
            <w:pPr>
              <w:numPr>
                <w:ilvl w:val="2"/>
                <w:numId w:val="7"/>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The number of tokens varies with the number of subbands.</w:t>
            </w:r>
          </w:p>
          <w:p w14:paraId="6DF9D5FC">
            <w:pPr>
              <w:numPr>
                <w:ilvl w:val="1"/>
                <w:numId w:val="7"/>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Alt 2: Use Tx port as the token dimension and subband as a feature dimension</w:t>
            </w:r>
          </w:p>
          <w:p w14:paraId="2493044F">
            <w:pPr>
              <w:numPr>
                <w:ilvl w:val="2"/>
                <w:numId w:val="7"/>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The number of tokens varies with the number of Tx ports.</w:t>
            </w:r>
          </w:p>
          <w:p w14:paraId="37190392">
            <w:pPr>
              <w:numPr>
                <w:ilvl w:val="1"/>
                <w:numId w:val="7"/>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Alt 3: Use a fixed-size sub-block of Tx ports and subbands matrix (e.g., n_Tx_ports*m_Subbands) as a token and represent the input as a sequence of tokens.</w:t>
            </w:r>
          </w:p>
          <w:p w14:paraId="55AACCB5">
            <w:pPr>
              <w:numPr>
                <w:ilvl w:val="2"/>
                <w:numId w:val="7"/>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The number of tokens varies with the number of Tx ports and the number of subbands.</w:t>
            </w:r>
          </w:p>
          <w:p w14:paraId="147C1F56">
            <w:pPr>
              <w:numPr>
                <w:ilvl w:val="0"/>
                <w:numId w:val="7"/>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For scalability over </w:t>
            </w:r>
            <w:r>
              <w:rPr>
                <w:rFonts w:hint="default" w:ascii="Times New Roman" w:hAnsi="Times New Roman" w:cs="Times New Roman"/>
                <w:i w:val="0"/>
                <w:iCs w:val="0"/>
                <w:color w:val="0070C0"/>
                <w:sz w:val="20"/>
                <w:szCs w:val="20"/>
                <w:lang w:eastAsia="zh-CN"/>
              </w:rPr>
              <w:t>the feature dimension</w:t>
            </w:r>
            <w:r>
              <w:rPr>
                <w:rFonts w:hint="default" w:ascii="Times New Roman" w:hAnsi="Times New Roman" w:cs="Times New Roman"/>
                <w:i w:val="0"/>
                <w:iCs w:val="0"/>
                <w:sz w:val="20"/>
                <w:szCs w:val="20"/>
                <w:lang w:eastAsia="zh-CN"/>
              </w:rPr>
              <w:t xml:space="preserve">, </w:t>
            </w:r>
          </w:p>
          <w:p w14:paraId="78CAE913">
            <w:pPr>
              <w:numPr>
                <w:ilvl w:val="1"/>
                <w:numId w:val="7"/>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Alt1: specific embedding layer for each </w:t>
            </w:r>
            <w:r>
              <w:rPr>
                <w:rFonts w:hint="default" w:ascii="Times New Roman" w:hAnsi="Times New Roman" w:cs="Times New Roman"/>
                <w:i w:val="0"/>
                <w:iCs w:val="0"/>
                <w:color w:val="0070C0"/>
                <w:sz w:val="20"/>
                <w:szCs w:val="20"/>
                <w:lang w:eastAsia="zh-CN"/>
              </w:rPr>
              <w:t>feature size</w:t>
            </w:r>
          </w:p>
          <w:p w14:paraId="1B5C7F02">
            <w:pPr>
              <w:numPr>
                <w:ilvl w:val="1"/>
                <w:numId w:val="7"/>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Alt2: a common embedding layer with padding </w:t>
            </w:r>
            <w:r>
              <w:rPr>
                <w:rFonts w:hint="default" w:ascii="Times New Roman" w:hAnsi="Times New Roman" w:cs="Times New Roman"/>
                <w:i w:val="0"/>
                <w:iCs w:val="0"/>
                <w:color w:val="0070C0"/>
                <w:sz w:val="20"/>
                <w:szCs w:val="20"/>
                <w:lang w:eastAsia="zh-CN"/>
              </w:rPr>
              <w:t xml:space="preserve">(e.g., zero-padding or other techniques for padding values) </w:t>
            </w:r>
          </w:p>
          <w:p w14:paraId="46812201">
            <w:pPr>
              <w:numPr>
                <w:ilvl w:val="0"/>
                <w:numId w:val="7"/>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For scalability over </w:t>
            </w:r>
            <w:r>
              <w:rPr>
                <w:rFonts w:hint="default" w:ascii="Times New Roman" w:hAnsi="Times New Roman" w:cs="Times New Roman"/>
                <w:i w:val="0"/>
                <w:iCs w:val="0"/>
                <w:color w:val="0070C0"/>
                <w:sz w:val="20"/>
                <w:szCs w:val="20"/>
                <w:lang w:eastAsia="zh-CN"/>
              </w:rPr>
              <w:t>the token dimension</w:t>
            </w:r>
            <w:r>
              <w:rPr>
                <w:rFonts w:hint="default" w:ascii="Times New Roman" w:hAnsi="Times New Roman" w:cs="Times New Roman"/>
                <w:i w:val="0"/>
                <w:iCs w:val="0"/>
                <w:sz w:val="20"/>
                <w:szCs w:val="20"/>
                <w:lang w:eastAsia="zh-CN"/>
              </w:rPr>
              <w:t xml:space="preserve">, </w:t>
            </w:r>
          </w:p>
          <w:p w14:paraId="630255A1">
            <w:pPr>
              <w:numPr>
                <w:ilvl w:val="1"/>
                <w:numId w:val="7"/>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Alt1: positional embedding specific to each </w:t>
            </w:r>
            <w:r>
              <w:rPr>
                <w:rFonts w:hint="default" w:ascii="Times New Roman" w:hAnsi="Times New Roman" w:cs="Times New Roman"/>
                <w:i w:val="0"/>
                <w:iCs w:val="0"/>
                <w:color w:val="0070C0"/>
                <w:sz w:val="20"/>
                <w:szCs w:val="20"/>
                <w:lang w:eastAsia="zh-CN"/>
              </w:rPr>
              <w:t>token</w:t>
            </w:r>
            <w:r>
              <w:rPr>
                <w:rFonts w:hint="default" w:ascii="Times New Roman" w:hAnsi="Times New Roman" w:cs="Times New Roman"/>
                <w:i w:val="0"/>
                <w:iCs w:val="0"/>
                <w:sz w:val="20"/>
                <w:szCs w:val="20"/>
                <w:lang w:eastAsia="zh-CN"/>
              </w:rPr>
              <w:t xml:space="preserve"> index</w:t>
            </w:r>
          </w:p>
          <w:p w14:paraId="6B9BF673">
            <w:pPr>
              <w:numPr>
                <w:ilvl w:val="2"/>
                <w:numId w:val="7"/>
              </w:numPr>
              <w:spacing w:after="160" w:line="276" w:lineRule="auto"/>
              <w:contextualSpacing/>
              <w:rPr>
                <w:rFonts w:hint="default" w:ascii="Times New Roman" w:hAnsi="Times New Roman" w:cs="Times New Roman"/>
                <w:i w:val="0"/>
                <w:iCs w:val="0"/>
                <w:sz w:val="20"/>
                <w:szCs w:val="20"/>
                <w:lang w:eastAsia="zh-CN"/>
              </w:rPr>
            </w:pPr>
            <m:oMath>
              <m:sSub>
                <m:sSubPr>
                  <m:ctrlPr>
                    <w:rPr>
                      <w:rFonts w:hint="default" w:ascii="Cambria Math" w:hAnsi="Cambria Math" w:cs="Times New Roman"/>
                      <w:i w:val="0"/>
                      <w:iCs w:val="0"/>
                      <w:color w:val="0070C0"/>
                      <w:sz w:val="20"/>
                      <w:szCs w:val="20"/>
                      <w:lang w:eastAsia="zh-CN"/>
                    </w:rPr>
                  </m:ctrlPr>
                </m:sSubPr>
                <m:e>
                  <m:r>
                    <m:rPr>
                      <m:sty m:val="p"/>
                    </m:rPr>
                    <w:rPr>
                      <w:rFonts w:hint="default" w:ascii="Cambria Math" w:hAnsi="Cambria Math" w:cs="Times New Roman"/>
                      <w:color w:val="0070C0"/>
                      <w:sz w:val="20"/>
                      <w:szCs w:val="20"/>
                      <w:lang w:eastAsia="zh-CN"/>
                    </w:rPr>
                    <m:t>N</m:t>
                  </m:r>
                  <m:ctrlPr>
                    <w:rPr>
                      <w:rFonts w:hint="default" w:ascii="Cambria Math" w:hAnsi="Cambria Math" w:cs="Times New Roman"/>
                      <w:i w:val="0"/>
                      <w:iCs w:val="0"/>
                      <w:color w:val="0070C0"/>
                      <w:sz w:val="20"/>
                      <w:szCs w:val="20"/>
                      <w:lang w:eastAsia="zh-CN"/>
                    </w:rPr>
                  </m:ctrlPr>
                </m:e>
                <m:sub>
                  <m:r>
                    <m:rPr>
                      <m:sty m:val="p"/>
                    </m:rPr>
                    <w:rPr>
                      <w:rFonts w:hint="default" w:ascii="Cambria Math" w:hAnsi="Cambria Math" w:cs="Times New Roman"/>
                      <w:color w:val="0070C0"/>
                      <w:sz w:val="20"/>
                      <w:szCs w:val="20"/>
                      <w:lang w:eastAsia="zh-CN"/>
                    </w:rPr>
                    <m:t>token,active</m:t>
                  </m:r>
                  <m:ctrlPr>
                    <w:rPr>
                      <w:rFonts w:hint="default" w:ascii="Cambria Math" w:hAnsi="Cambria Math" w:cs="Times New Roman"/>
                      <w:i w:val="0"/>
                      <w:iCs w:val="0"/>
                      <w:color w:val="0070C0"/>
                      <w:sz w:val="20"/>
                      <w:szCs w:val="20"/>
                      <w:lang w:eastAsia="zh-CN"/>
                    </w:rPr>
                  </m:ctrlPr>
                </m:sub>
              </m:sSub>
            </m:oMath>
            <w:r>
              <w:rPr>
                <w:rFonts w:hint="default" w:ascii="Times New Roman" w:hAnsi="Times New Roman" w:cs="Times New Roman"/>
                <w:i w:val="0"/>
                <w:iCs w:val="0"/>
                <w:sz w:val="20"/>
                <w:szCs w:val="20"/>
                <w:lang w:eastAsia="zh-CN"/>
              </w:rPr>
              <w:t xml:space="preserve"> tokens out of  </w:t>
            </w:r>
            <m:oMath>
              <m:sSub>
                <m:sSubPr>
                  <m:ctrlPr>
                    <w:rPr>
                      <w:rFonts w:hint="default" w:ascii="Cambria Math" w:hAnsi="Cambria Math" w:cs="Times New Roman"/>
                      <w:i w:val="0"/>
                      <w:iCs w:val="0"/>
                      <w:color w:val="0070C0"/>
                      <w:sz w:val="20"/>
                      <w:szCs w:val="20"/>
                      <w:lang w:eastAsia="zh-CN"/>
                    </w:rPr>
                  </m:ctrlPr>
                </m:sSubPr>
                <m:e>
                  <m:r>
                    <m:rPr>
                      <m:sty m:val="p"/>
                    </m:rPr>
                    <w:rPr>
                      <w:rFonts w:hint="default" w:ascii="Cambria Math" w:hAnsi="Cambria Math" w:cs="Times New Roman"/>
                      <w:color w:val="0070C0"/>
                      <w:sz w:val="20"/>
                      <w:szCs w:val="20"/>
                      <w:lang w:eastAsia="zh-CN"/>
                    </w:rPr>
                    <m:t>N</m:t>
                  </m:r>
                  <m:ctrlPr>
                    <w:rPr>
                      <w:rFonts w:hint="default" w:ascii="Cambria Math" w:hAnsi="Cambria Math" w:cs="Times New Roman"/>
                      <w:i w:val="0"/>
                      <w:iCs w:val="0"/>
                      <w:color w:val="0070C0"/>
                      <w:sz w:val="20"/>
                      <w:szCs w:val="20"/>
                      <w:lang w:eastAsia="zh-CN"/>
                    </w:rPr>
                  </m:ctrlPr>
                </m:e>
                <m:sub>
                  <m:r>
                    <m:rPr>
                      <m:sty m:val="p"/>
                    </m:rPr>
                    <w:rPr>
                      <w:rFonts w:hint="default" w:ascii="Cambria Math" w:hAnsi="Cambria Math" w:cs="Times New Roman"/>
                      <w:color w:val="0070C0"/>
                      <w:sz w:val="20"/>
                      <w:szCs w:val="20"/>
                      <w:lang w:eastAsia="zh-CN"/>
                    </w:rPr>
                    <m:t>token</m:t>
                  </m:r>
                  <m:ctrlPr>
                    <w:rPr>
                      <w:rFonts w:hint="default" w:ascii="Cambria Math" w:hAnsi="Cambria Math" w:cs="Times New Roman"/>
                      <w:i w:val="0"/>
                      <w:iCs w:val="0"/>
                      <w:color w:val="0070C0"/>
                      <w:sz w:val="20"/>
                      <w:szCs w:val="20"/>
                      <w:lang w:eastAsia="zh-CN"/>
                    </w:rPr>
                  </m:ctrlPr>
                </m:sub>
              </m:sSub>
            </m:oMath>
            <w:r>
              <w:rPr>
                <w:rFonts w:hint="default" w:ascii="Times New Roman" w:hAnsi="Times New Roman" w:cs="Times New Roman"/>
                <w:i w:val="0"/>
                <w:iCs w:val="0"/>
                <w:color w:val="0070C0"/>
                <w:sz w:val="20"/>
                <w:szCs w:val="20"/>
                <w:lang w:eastAsia="zh-CN"/>
              </w:rPr>
              <w:t xml:space="preserve"> </w:t>
            </w:r>
            <w:r>
              <w:rPr>
                <w:rFonts w:hint="default" w:ascii="Times New Roman" w:hAnsi="Times New Roman" w:cs="Times New Roman"/>
                <w:i w:val="0"/>
                <w:iCs w:val="0"/>
                <w:sz w:val="20"/>
                <w:szCs w:val="20"/>
                <w:lang w:eastAsia="zh-CN"/>
              </w:rPr>
              <w:t>token positions are used as input.</w:t>
            </w:r>
          </w:p>
          <w:p w14:paraId="594A885F">
            <w:pPr>
              <w:numPr>
                <w:ilvl w:val="1"/>
                <w:numId w:val="7"/>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 xml:space="preserve">Alt2: </w:t>
            </w:r>
            <w:r>
              <w:rPr>
                <w:rFonts w:hint="default" w:ascii="Times New Roman" w:hAnsi="Times New Roman" w:eastAsia="宋体" w:cs="Times New Roman"/>
                <w:i w:val="0"/>
                <w:iCs w:val="0"/>
                <w:color w:val="0070C0"/>
                <w:sz w:val="20"/>
                <w:szCs w:val="20"/>
                <w:lang w:eastAsia="zh-CN"/>
              </w:rPr>
              <w:t>P</w:t>
            </w:r>
            <w:r>
              <w:rPr>
                <w:rFonts w:hint="default" w:ascii="Times New Roman" w:hAnsi="Times New Roman" w:cs="Times New Roman"/>
                <w:i w:val="0"/>
                <w:iCs w:val="0"/>
                <w:color w:val="0070C0"/>
                <w:sz w:val="20"/>
                <w:szCs w:val="20"/>
                <w:lang w:eastAsia="zh-CN"/>
              </w:rPr>
              <w:t>adding at the input</w:t>
            </w:r>
          </w:p>
          <w:p w14:paraId="1B5E8240">
            <w:pPr>
              <w:numPr>
                <w:ilvl w:val="0"/>
                <w:numId w:val="7"/>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For scalability over payload configurations,</w:t>
            </w:r>
          </w:p>
          <w:p w14:paraId="13B78DA5">
            <w:pPr>
              <w:numPr>
                <w:ilvl w:val="1"/>
                <w:numId w:val="7"/>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Alt1: specific output linear layer for each payload configuration</w:t>
            </w:r>
          </w:p>
          <w:p w14:paraId="03C1B5DB">
            <w:pPr>
              <w:numPr>
                <w:ilvl w:val="1"/>
                <w:numId w:val="7"/>
              </w:numPr>
              <w:spacing w:after="160" w:line="276" w:lineRule="auto"/>
              <w:contextualSpacing/>
              <w:rPr>
                <w:rFonts w:hint="default" w:ascii="Times New Roman" w:hAnsi="Times New Roman" w:cs="Times New Roman"/>
                <w:b/>
                <w:bCs/>
                <w:i w:val="0"/>
                <w:iCs w:val="0"/>
                <w:sz w:val="20"/>
                <w:szCs w:val="20"/>
                <w:u w:val="single"/>
                <w:lang w:eastAsia="zh-CN"/>
              </w:rPr>
            </w:pPr>
            <w:r>
              <w:rPr>
                <w:rFonts w:hint="default" w:ascii="Times New Roman" w:hAnsi="Times New Roman" w:cs="Times New Roman"/>
                <w:i w:val="0"/>
                <w:iCs w:val="0"/>
                <w:sz w:val="20"/>
                <w:szCs w:val="20"/>
                <w:lang w:eastAsia="zh-CN"/>
              </w:rPr>
              <w:t>Alt2: truncation/masking of the output linear layer output</w:t>
            </w:r>
          </w:p>
          <w:p w14:paraId="396A4DE7">
            <w:pPr>
              <w:numPr>
                <w:ilvl w:val="1"/>
                <w:numId w:val="7"/>
              </w:numPr>
              <w:spacing w:after="160" w:line="276" w:lineRule="auto"/>
              <w:contextualSpacing/>
              <w:rPr>
                <w:rFonts w:hint="default" w:ascii="Times New Roman" w:hAnsi="Times New Roman" w:cs="Times New Roman"/>
                <w:b/>
                <w:bCs/>
                <w:i w:val="0"/>
                <w:iCs w:val="0"/>
                <w:color w:val="0070C0"/>
                <w:sz w:val="20"/>
                <w:szCs w:val="20"/>
                <w:u w:val="single"/>
                <w:lang w:eastAsia="zh-CN"/>
              </w:rPr>
            </w:pPr>
            <w:r>
              <w:rPr>
                <w:rFonts w:hint="default" w:ascii="Times New Roman" w:hAnsi="Times New Roman" w:cs="Times New Roman"/>
                <w:i w:val="0"/>
                <w:iCs w:val="0"/>
                <w:color w:val="0070C0"/>
                <w:sz w:val="20"/>
                <w:szCs w:val="20"/>
                <w:lang w:eastAsia="zh-CN"/>
              </w:rPr>
              <w:t>Alt3: by varying quantization parameters</w:t>
            </w:r>
          </w:p>
          <w:p w14:paraId="3E3B6B5D">
            <w:pPr>
              <w:numPr>
                <w:ilvl w:val="0"/>
                <w:numId w:val="7"/>
              </w:numPr>
              <w:spacing w:after="160" w:line="276" w:lineRule="auto"/>
              <w:contextualSpacing/>
              <w:rPr>
                <w:rFonts w:hint="default" w:ascii="Times New Roman" w:hAnsi="Times New Roman" w:cs="Times New Roman"/>
                <w:b/>
                <w:bCs/>
                <w:i w:val="0"/>
                <w:iCs w:val="0"/>
                <w:color w:val="0070C0"/>
                <w:sz w:val="20"/>
                <w:szCs w:val="20"/>
                <w:u w:val="single"/>
                <w:lang w:eastAsia="zh-CN"/>
              </w:rPr>
            </w:pPr>
            <w:r>
              <w:rPr>
                <w:rFonts w:hint="default" w:ascii="Times New Roman" w:hAnsi="Times New Roman" w:cs="Times New Roman"/>
                <w:i w:val="0"/>
                <w:iCs w:val="0"/>
                <w:color w:val="0070C0"/>
                <w:sz w:val="20"/>
                <w:szCs w:val="20"/>
                <w:lang w:eastAsia="ko-KR"/>
              </w:rPr>
              <w:t>Notes</w:t>
            </w:r>
          </w:p>
          <w:p w14:paraId="08929D77">
            <w:pPr>
              <w:numPr>
                <w:ilvl w:val="1"/>
                <w:numId w:val="7"/>
              </w:numPr>
              <w:spacing w:after="160" w:line="276" w:lineRule="auto"/>
              <w:contextualSpacing/>
              <w:rPr>
                <w:rFonts w:hint="default" w:ascii="Times New Roman" w:hAnsi="Times New Roman" w:cs="Times New Roman"/>
                <w:b/>
                <w:bCs/>
                <w:i w:val="0"/>
                <w:iCs w:val="0"/>
                <w:color w:val="0070C0"/>
                <w:sz w:val="20"/>
                <w:szCs w:val="20"/>
                <w:u w:val="single"/>
                <w:lang w:eastAsia="zh-CN"/>
              </w:rPr>
            </w:pPr>
            <w:r>
              <w:rPr>
                <w:rFonts w:hint="default" w:ascii="Times New Roman" w:hAnsi="Times New Roman" w:cs="Times New Roman"/>
                <w:i w:val="0"/>
                <w:iCs w:val="0"/>
                <w:color w:val="0070C0"/>
                <w:sz w:val="20"/>
                <w:szCs w:val="20"/>
                <w:lang w:eastAsia="zh-CN"/>
              </w:rPr>
              <w:t>Other Alternatives are not precluded.</w:t>
            </w:r>
          </w:p>
          <w:p w14:paraId="7BAF8710">
            <w:pPr>
              <w:numPr>
                <w:ilvl w:val="1"/>
                <w:numId w:val="7"/>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Different Alternatives may be used in combination.</w:t>
            </w:r>
          </w:p>
          <w:p w14:paraId="17DD70CB">
            <w:pPr>
              <w:numPr>
                <w:ilvl w:val="1"/>
                <w:numId w:val="7"/>
              </w:numPr>
              <w:spacing w:after="160" w:line="276" w:lineRule="auto"/>
              <w:contextualSpacing/>
              <w:rPr>
                <w:rFonts w:hint="default" w:ascii="Times New Roman" w:hAnsi="Times New Roman" w:eastAsia="Malgun Gothic" w:cs="Times New Roman"/>
                <w:i w:val="0"/>
                <w:iCs w:val="0"/>
                <w:color w:val="0070C0"/>
                <w:sz w:val="20"/>
                <w:szCs w:val="20"/>
              </w:rPr>
            </w:pPr>
            <w:r>
              <w:rPr>
                <w:rFonts w:hint="default" w:ascii="Times New Roman" w:hAnsi="Times New Roman" w:cs="Times New Roman"/>
                <w:i w:val="0"/>
                <w:iCs w:val="0"/>
                <w:color w:val="0070C0"/>
                <w:sz w:val="20"/>
                <w:szCs w:val="20"/>
                <w:lang w:eastAsia="zh-CN"/>
              </w:rPr>
              <w:t>Same/similar approach is applied at the decoder side.</w:t>
            </w:r>
          </w:p>
          <w:bookmarkEnd w:id="8"/>
          <w:p w14:paraId="253CD884">
            <w:pPr>
              <w:numPr>
                <w:ilvl w:val="0"/>
                <w:numId w:val="7"/>
              </w:numPr>
              <w:spacing w:after="160" w:line="276" w:lineRule="auto"/>
              <w:contextualSpacing/>
              <w:rPr>
                <w:rFonts w:hint="default" w:ascii="Times New Roman" w:hAnsi="Times New Roman" w:eastAsia="等线" w:cs="Times New Roman"/>
                <w:i w:val="0"/>
                <w:iCs w:val="0"/>
                <w:color w:val="0070C0"/>
                <w:sz w:val="20"/>
                <w:szCs w:val="20"/>
                <w:lang w:eastAsia="ko-KR"/>
              </w:rPr>
            </w:pPr>
            <w:r>
              <w:rPr>
                <w:rFonts w:hint="default" w:ascii="Times New Roman" w:hAnsi="Times New Roman" w:eastAsia="等线" w:cs="Times New Roman"/>
                <w:i w:val="0"/>
                <w:iCs w:val="0"/>
                <w:color w:val="0070C0"/>
                <w:sz w:val="20"/>
                <w:szCs w:val="20"/>
                <w:lang w:eastAsia="ko-KR"/>
              </w:rPr>
              <w:t>Evaluations to consider:</w:t>
            </w:r>
          </w:p>
          <w:p w14:paraId="2A4AFF58">
            <w:pPr>
              <w:numPr>
                <w:ilvl w:val="1"/>
                <w:numId w:val="7"/>
              </w:numPr>
              <w:spacing w:after="160" w:line="276" w:lineRule="auto"/>
              <w:contextualSpacing/>
              <w:rPr>
                <w:rFonts w:hint="default" w:ascii="Times New Roman" w:hAnsi="Times New Roman" w:eastAsia="等线" w:cs="Times New Roman"/>
                <w:i w:val="0"/>
                <w:iCs w:val="0"/>
                <w:color w:val="0070C0"/>
                <w:sz w:val="20"/>
                <w:szCs w:val="20"/>
                <w:lang w:eastAsia="ko-KR"/>
              </w:rPr>
            </w:pPr>
            <w:r>
              <w:rPr>
                <w:rFonts w:hint="default" w:ascii="Times New Roman" w:hAnsi="Times New Roman" w:eastAsia="等线" w:cs="Times New Roman"/>
                <w:i w:val="0"/>
                <w:iCs w:val="0"/>
                <w:color w:val="0070C0"/>
                <w:sz w:val="20"/>
                <w:szCs w:val="20"/>
                <w:lang w:eastAsia="ko-KR"/>
              </w:rPr>
              <w:t>Case 1 (scalable structure): Scalable model structure described above</w:t>
            </w:r>
          </w:p>
          <w:p w14:paraId="1A32A013">
            <w:pPr>
              <w:numPr>
                <w:ilvl w:val="2"/>
                <w:numId w:val="7"/>
              </w:numPr>
              <w:spacing w:after="160" w:line="276" w:lineRule="auto"/>
              <w:contextualSpacing/>
              <w:rPr>
                <w:rFonts w:hint="default" w:ascii="Times New Roman" w:hAnsi="Times New Roman" w:eastAsia="等线" w:cs="Times New Roman"/>
                <w:i w:val="0"/>
                <w:iCs w:val="0"/>
                <w:color w:val="0070C0"/>
                <w:sz w:val="20"/>
                <w:szCs w:val="20"/>
                <w:lang w:eastAsia="ko-KR"/>
              </w:rPr>
            </w:pPr>
            <w:r>
              <w:rPr>
                <w:rFonts w:hint="default" w:ascii="Times New Roman" w:hAnsi="Times New Roman" w:eastAsia="等线" w:cs="Times New Roman"/>
                <w:i w:val="0"/>
                <w:iCs w:val="0"/>
                <w:color w:val="0070C0"/>
                <w:sz w:val="20"/>
                <w:szCs w:val="20"/>
                <w:lang w:eastAsia="ko-KR"/>
              </w:rPr>
              <w:t>Using model structure</w:t>
            </w:r>
            <w:r>
              <w:rPr>
                <w:rFonts w:hint="default" w:ascii="Times New Roman" w:hAnsi="Times New Roman" w:eastAsia="等线" w:cs="Times New Roman"/>
                <w:i w:val="0"/>
                <w:iCs w:val="0"/>
                <w:color w:val="0070C0"/>
                <w:sz w:val="20"/>
                <w:szCs w:val="20"/>
                <w:lang w:eastAsia="zh-CN"/>
              </w:rPr>
              <w:t xml:space="preserve"> as indicated in above diagram with fixed hyperparameters</w:t>
            </w:r>
            <w:r>
              <w:rPr>
                <w:rFonts w:hint="default" w:ascii="Times New Roman" w:hAnsi="Times New Roman" w:eastAsia="等线" w:cs="Times New Roman"/>
                <w:i w:val="0"/>
                <w:iCs w:val="0"/>
                <w:color w:val="0070C0"/>
                <w:sz w:val="20"/>
                <w:szCs w:val="20"/>
                <w:lang w:eastAsia="ko-KR"/>
              </w:rPr>
              <w:t>, companies may train a single parameter set or different parameter sets across different {number of Tx ports, CSI feedback payload size, bandwidth}</w:t>
            </w:r>
            <w:r>
              <w:rPr>
                <w:rFonts w:hint="default" w:ascii="Times New Roman" w:hAnsi="Times New Roman" w:eastAsia="等线" w:cs="Times New Roman"/>
                <w:i w:val="0"/>
                <w:iCs w:val="0"/>
                <w:color w:val="0070C0"/>
                <w:sz w:val="20"/>
                <w:szCs w:val="20"/>
                <w:lang w:eastAsia="zh-CN"/>
              </w:rPr>
              <w:t xml:space="preserve"> assuming a common model structure</w:t>
            </w:r>
            <w:r>
              <w:rPr>
                <w:rFonts w:hint="default" w:ascii="Times New Roman" w:hAnsi="Times New Roman" w:eastAsia="等线" w:cs="Times New Roman"/>
                <w:i w:val="0"/>
                <w:iCs w:val="0"/>
                <w:color w:val="0070C0"/>
                <w:sz w:val="20"/>
                <w:szCs w:val="20"/>
                <w:lang w:eastAsia="ko-KR"/>
              </w:rPr>
              <w:t>.</w:t>
            </w:r>
          </w:p>
          <w:p w14:paraId="2333A8DC">
            <w:pPr>
              <w:numPr>
                <w:ilvl w:val="2"/>
                <w:numId w:val="7"/>
              </w:numPr>
              <w:spacing w:after="160" w:line="276" w:lineRule="auto"/>
              <w:contextualSpacing/>
              <w:rPr>
                <w:rFonts w:hint="default" w:ascii="Times New Roman" w:hAnsi="Times New Roman" w:eastAsia="Calibri" w:cs="Times New Roman"/>
                <w:i w:val="0"/>
                <w:iCs w:val="0"/>
                <w:color w:val="0070C0"/>
                <w:sz w:val="20"/>
                <w:szCs w:val="20"/>
                <w:lang w:eastAsia="zh-CN"/>
              </w:rPr>
            </w:pPr>
            <w:r>
              <w:rPr>
                <w:rFonts w:hint="default" w:ascii="Times New Roman" w:hAnsi="Times New Roman" w:eastAsia="等线" w:cs="Times New Roman"/>
                <w:i w:val="0"/>
                <w:iCs w:val="0"/>
                <w:color w:val="0070C0"/>
                <w:sz w:val="20"/>
                <w:szCs w:val="20"/>
                <w:lang w:eastAsia="zh-CN"/>
              </w:rPr>
              <w:t>T</w:t>
            </w:r>
            <w:r>
              <w:rPr>
                <w:rFonts w:hint="default" w:ascii="Times New Roman" w:hAnsi="Times New Roman" w:cs="Times New Roman"/>
                <w:i w:val="0"/>
                <w:iCs w:val="0"/>
                <w:color w:val="0070C0"/>
                <w:sz w:val="20"/>
                <w:szCs w:val="20"/>
                <w:lang w:eastAsia="zh-CN"/>
              </w:rPr>
              <w:t xml:space="preserve">o report whether a single parameter set or different parameter sets were used across different </w:t>
            </w:r>
            <w:r>
              <w:rPr>
                <w:rFonts w:hint="default" w:ascii="Times New Roman" w:hAnsi="Times New Roman" w:eastAsia="等线" w:cs="Times New Roman"/>
                <w:i w:val="0"/>
                <w:iCs w:val="0"/>
                <w:color w:val="0070C0"/>
                <w:sz w:val="20"/>
                <w:szCs w:val="20"/>
                <w:lang w:eastAsia="ko-KR"/>
              </w:rPr>
              <w:t>{number of Tx ports, CSI feedback payload size, bandwidth}</w:t>
            </w:r>
            <w:r>
              <w:rPr>
                <w:rFonts w:hint="default" w:ascii="Times New Roman" w:hAnsi="Times New Roman" w:cs="Times New Roman"/>
                <w:i w:val="0"/>
                <w:iCs w:val="0"/>
                <w:color w:val="0070C0"/>
                <w:sz w:val="20"/>
                <w:szCs w:val="20"/>
                <w:lang w:eastAsia="zh-CN"/>
              </w:rPr>
              <w:t>.</w:t>
            </w:r>
            <w:r>
              <w:rPr>
                <w:rFonts w:hint="default" w:ascii="Times New Roman" w:hAnsi="Times New Roman" w:eastAsia="等线" w:cs="Times New Roman"/>
                <w:i w:val="0"/>
                <w:iCs w:val="0"/>
                <w:color w:val="0070C0"/>
                <w:sz w:val="20"/>
                <w:szCs w:val="20"/>
                <w:lang w:eastAsia="ko-KR"/>
              </w:rPr>
              <w:t xml:space="preserve"> (e.g., single parameter set across different payload sizes and bandwidths, different parameter set across different number of Tx ports)</w:t>
            </w:r>
          </w:p>
          <w:p w14:paraId="0FE1BCFE">
            <w:pPr>
              <w:numPr>
                <w:ilvl w:val="1"/>
                <w:numId w:val="7"/>
              </w:numPr>
              <w:spacing w:after="160" w:line="276" w:lineRule="auto"/>
              <w:contextualSpacing/>
              <w:rPr>
                <w:rFonts w:hint="default" w:ascii="Times New Roman" w:hAnsi="Times New Roman" w:eastAsia="等线" w:cs="Times New Roman"/>
                <w:i w:val="0"/>
                <w:iCs w:val="0"/>
                <w:color w:val="0070C0"/>
                <w:sz w:val="20"/>
                <w:szCs w:val="20"/>
                <w:lang w:eastAsia="ko-KR"/>
              </w:rPr>
            </w:pPr>
            <w:r>
              <w:rPr>
                <w:rFonts w:hint="default" w:ascii="Times New Roman" w:hAnsi="Times New Roman" w:eastAsia="等线" w:cs="Times New Roman"/>
                <w:i w:val="0"/>
                <w:iCs w:val="0"/>
                <w:color w:val="0070C0"/>
                <w:sz w:val="20"/>
                <w:szCs w:val="20"/>
                <w:lang w:eastAsia="ko-KR"/>
              </w:rPr>
              <w:t>Case 2 (dedicated structure): Using model structure</w:t>
            </w:r>
            <w:r>
              <w:rPr>
                <w:rFonts w:hint="default" w:ascii="Times New Roman" w:hAnsi="Times New Roman" w:eastAsia="等线" w:cs="Times New Roman"/>
                <w:i w:val="0"/>
                <w:iCs w:val="0"/>
                <w:color w:val="0070C0"/>
                <w:sz w:val="20"/>
                <w:szCs w:val="20"/>
                <w:lang w:eastAsia="zh-CN"/>
              </w:rPr>
              <w:t xml:space="preserve"> as indicated in above diagram with different hyperparameters</w:t>
            </w:r>
            <w:r>
              <w:rPr>
                <w:rFonts w:hint="default" w:ascii="Times New Roman" w:hAnsi="Times New Roman" w:eastAsia="等线" w:cs="Times New Roman"/>
                <w:i w:val="0"/>
                <w:iCs w:val="0"/>
                <w:color w:val="0070C0"/>
                <w:sz w:val="20"/>
                <w:szCs w:val="20"/>
                <w:lang w:eastAsia="ko-KR"/>
              </w:rPr>
              <w:t xml:space="preserve">, where the input and the output </w:t>
            </w:r>
            <w:r>
              <w:rPr>
                <w:rFonts w:hint="default" w:ascii="Times New Roman" w:hAnsi="Times New Roman" w:eastAsia="等线" w:cs="Times New Roman"/>
                <w:i w:val="0"/>
                <w:iCs w:val="0"/>
                <w:color w:val="0070C0"/>
                <w:sz w:val="20"/>
                <w:szCs w:val="20"/>
                <w:lang w:eastAsia="zh-CN"/>
              </w:rPr>
              <w:t>related hyperparameters</w:t>
            </w:r>
            <w:r>
              <w:rPr>
                <w:rFonts w:hint="default" w:ascii="Times New Roman" w:hAnsi="Times New Roman" w:eastAsia="等线" w:cs="Times New Roman"/>
                <w:i w:val="0"/>
                <w:iCs w:val="0"/>
                <w:color w:val="0070C0"/>
                <w:sz w:val="20"/>
                <w:szCs w:val="20"/>
                <w:lang w:eastAsia="ko-KR"/>
              </w:rPr>
              <w:t xml:space="preserve"> are chosen optimally corresponding to each specific {number of Tx ports, CSI feedback payload size, bandwidth} without scalability considerations.</w:t>
            </w:r>
          </w:p>
          <w:p w14:paraId="621C112C">
            <w:pPr>
              <w:numPr>
                <w:ilvl w:val="2"/>
                <w:numId w:val="7"/>
              </w:numPr>
              <w:spacing w:after="160" w:line="276" w:lineRule="auto"/>
              <w:contextualSpacing/>
              <w:rPr>
                <w:rFonts w:hint="default" w:ascii="Times New Roman" w:hAnsi="Times New Roman" w:eastAsia="等线" w:cs="Times New Roman"/>
                <w:i w:val="0"/>
                <w:iCs w:val="0"/>
                <w:color w:val="0070C0"/>
                <w:sz w:val="20"/>
                <w:szCs w:val="20"/>
                <w:lang w:eastAsia="ko-KR"/>
              </w:rPr>
            </w:pPr>
            <w:r>
              <w:rPr>
                <w:rFonts w:hint="default" w:ascii="Times New Roman" w:hAnsi="Times New Roman" w:eastAsia="等线" w:cs="Times New Roman"/>
                <w:i w:val="0"/>
                <w:iCs w:val="0"/>
                <w:color w:val="0070C0"/>
                <w:sz w:val="20"/>
                <w:szCs w:val="20"/>
                <w:lang w:eastAsia="ko-KR"/>
              </w:rPr>
              <w:t>Different parameter sets are trained across different number of Tx ports, CSI feedback payload sizes, and bandwidths.</w:t>
            </w:r>
          </w:p>
          <w:p w14:paraId="69CBA7F6">
            <w:pPr>
              <w:numPr>
                <w:ilvl w:val="1"/>
                <w:numId w:val="7"/>
              </w:numPr>
              <w:spacing w:after="160" w:line="276" w:lineRule="auto"/>
              <w:contextualSpacing/>
              <w:rPr>
                <w:rFonts w:hint="default" w:ascii="Times New Roman" w:hAnsi="Times New Roman" w:eastAsia="Calibri" w:cs="Times New Roman"/>
                <w:i w:val="0"/>
                <w:iCs w:val="0"/>
                <w:color w:val="0070C0"/>
                <w:sz w:val="20"/>
                <w:szCs w:val="20"/>
                <w:lang w:eastAsia="zh-CN"/>
              </w:rPr>
            </w:pPr>
            <w:r>
              <w:rPr>
                <w:rFonts w:hint="default" w:ascii="Times New Roman" w:hAnsi="Times New Roman" w:eastAsia="等线" w:cs="Times New Roman"/>
                <w:i w:val="0"/>
                <w:iCs w:val="0"/>
                <w:color w:val="0070C0"/>
                <w:sz w:val="20"/>
                <w:szCs w:val="20"/>
                <w:lang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14:paraId="44F7868C">
            <w:pPr>
              <w:ind w:left="0" w:firstLine="0"/>
              <w:rPr>
                <w:rFonts w:hint="default" w:ascii="Times New Roman" w:hAnsi="Times New Roman" w:eastAsia="等线" w:cs="Times New Roman"/>
                <w:i w:val="0"/>
                <w:iCs w:val="0"/>
                <w:sz w:val="20"/>
                <w:szCs w:val="20"/>
                <w:highlight w:val="green"/>
                <w:lang w:eastAsia="zh-CN"/>
              </w:rPr>
            </w:pPr>
            <w:r>
              <w:rPr>
                <w:rFonts w:hint="default" w:ascii="Times New Roman" w:hAnsi="Times New Roman" w:eastAsia="等线" w:cs="Times New Roman"/>
                <w:i w:val="0"/>
                <w:iCs w:val="0"/>
                <w:sz w:val="20"/>
                <w:szCs w:val="20"/>
                <w:highlight w:val="green"/>
                <w:lang w:eastAsia="zh-CN"/>
              </w:rPr>
              <w:t>Agreement</w:t>
            </w:r>
          </w:p>
          <w:p w14:paraId="66F17E33">
            <w:pPr>
              <w:spacing w:after="160" w:line="276" w:lineRule="auto"/>
              <w:ind w:left="0" w:firstLine="0"/>
              <w:contextualSpacing/>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rPr>
              <w:t xml:space="preserve">For model structure scalability study for temporal domain Case 0, for the choice of </w:t>
            </w:r>
            <w:r>
              <w:rPr>
                <w:rFonts w:hint="default" w:ascii="Times New Roman" w:hAnsi="Times New Roman" w:eastAsia="宋体" w:cs="Times New Roman"/>
                <w:i w:val="0"/>
                <w:iCs w:val="0"/>
                <w:sz w:val="20"/>
                <w:szCs w:val="20"/>
                <w:lang w:eastAsia="zh-CN"/>
              </w:rPr>
              <w:t>{number of Tx ports, CSI feedback payload size, bandwidth},</w:t>
            </w:r>
            <w:r>
              <w:rPr>
                <w:rFonts w:hint="default" w:ascii="Times New Roman" w:hAnsi="Times New Roman" w:cs="Times New Roman"/>
                <w:i w:val="0"/>
                <w:iCs w:val="0"/>
                <w:sz w:val="20"/>
                <w:szCs w:val="20"/>
              </w:rPr>
              <w:t xml:space="preserve"> take the following as baseline values.</w:t>
            </w:r>
          </w:p>
          <w:p w14:paraId="59836675">
            <w:pPr>
              <w:numPr>
                <w:ilvl w:val="0"/>
                <w:numId w:val="8"/>
              </w:numPr>
              <w:spacing w:after="160" w:line="276" w:lineRule="auto"/>
              <w:contextualSpacing/>
              <w:rPr>
                <w:rFonts w:hint="default" w:ascii="Times New Roman" w:hAnsi="Times New Roman" w:eastAsia="等线" w:cs="Times New Roman"/>
                <w:i w:val="0"/>
                <w:iCs w:val="0"/>
                <w:sz w:val="20"/>
                <w:szCs w:val="20"/>
                <w:lang w:eastAsia="ko-KR"/>
              </w:rPr>
            </w:pPr>
            <w:r>
              <w:rPr>
                <w:rFonts w:hint="default" w:ascii="Times New Roman" w:hAnsi="Times New Roman" w:eastAsia="宋体" w:cs="Times New Roman"/>
                <w:i w:val="0"/>
                <w:iCs w:val="0"/>
                <w:sz w:val="20"/>
                <w:szCs w:val="20"/>
                <w:lang w:eastAsia="zh-CN"/>
              </w:rPr>
              <w:t>Number of Tx ports</w:t>
            </w:r>
            <w:r>
              <w:rPr>
                <w:rFonts w:hint="default" w:ascii="Times New Roman" w:hAnsi="Times New Roman" w:cs="Times New Roman"/>
                <w:i w:val="0"/>
                <w:iCs w:val="0"/>
                <w:sz w:val="20"/>
                <w:szCs w:val="20"/>
                <w:lang w:eastAsia="ko-KR"/>
              </w:rPr>
              <w:t xml:space="preserve"> </w:t>
            </w:r>
          </w:p>
          <w:p w14:paraId="20FE80FB">
            <w:pPr>
              <w:numPr>
                <w:ilvl w:val="1"/>
                <w:numId w:val="8"/>
              </w:numPr>
              <w:spacing w:after="160" w:line="276" w:lineRule="auto"/>
              <w:contextualSpacing/>
              <w:rPr>
                <w:rFonts w:hint="default" w:ascii="Times New Roman" w:hAnsi="Times New Roman" w:eastAsia="等线" w:cs="Times New Roman"/>
                <w:i w:val="0"/>
                <w:iCs w:val="0"/>
                <w:sz w:val="20"/>
                <w:szCs w:val="20"/>
                <w:lang w:val="fr-FR" w:eastAsia="ko-KR"/>
              </w:rPr>
            </w:pPr>
            <w:r>
              <w:rPr>
                <w:rFonts w:hint="default" w:ascii="Times New Roman" w:hAnsi="Times New Roman" w:cs="Times New Roman"/>
                <w:bCs/>
                <w:i w:val="0"/>
                <w:iCs w:val="0"/>
                <w:sz w:val="20"/>
                <w:szCs w:val="20"/>
                <w:lang w:val="fr-FR" w:eastAsia="ko-KR"/>
              </w:rPr>
              <w:t>[N1, N2, P] = [2, 8, 2]</w:t>
            </w:r>
            <w:r>
              <w:rPr>
                <w:rFonts w:hint="default" w:ascii="Times New Roman" w:hAnsi="Times New Roman" w:cs="Times New Roman"/>
                <w:i w:val="0"/>
                <w:iCs w:val="0"/>
                <w:sz w:val="20"/>
                <w:szCs w:val="20"/>
                <w:lang w:val="fr-FR" w:eastAsia="ko-KR"/>
              </w:rPr>
              <w:t xml:space="preserve"> (32 CSI-RS ports)</w:t>
            </w:r>
          </w:p>
          <w:p w14:paraId="5EA6D4EE">
            <w:pPr>
              <w:numPr>
                <w:ilvl w:val="1"/>
                <w:numId w:val="8"/>
              </w:numPr>
              <w:spacing w:after="160" w:line="276" w:lineRule="auto"/>
              <w:contextualSpacing/>
              <w:rPr>
                <w:rFonts w:hint="default" w:ascii="Times New Roman" w:hAnsi="Times New Roman" w:eastAsia="等线" w:cs="Times New Roman"/>
                <w:i w:val="0"/>
                <w:iCs w:val="0"/>
                <w:sz w:val="20"/>
                <w:szCs w:val="20"/>
                <w:lang w:val="fr-FR" w:eastAsia="ko-KR"/>
              </w:rPr>
            </w:pPr>
            <w:r>
              <w:rPr>
                <w:rFonts w:hint="default" w:ascii="Times New Roman" w:hAnsi="Times New Roman" w:cs="Times New Roman"/>
                <w:bCs/>
                <w:i w:val="0"/>
                <w:iCs w:val="0"/>
                <w:sz w:val="20"/>
                <w:szCs w:val="20"/>
                <w:lang w:val="fr-FR" w:eastAsia="ko-KR"/>
              </w:rPr>
              <w:t>[N1, N2, P] = [4,4,2]</w:t>
            </w:r>
            <w:r>
              <w:rPr>
                <w:rFonts w:hint="default" w:ascii="Times New Roman" w:hAnsi="Times New Roman" w:cs="Times New Roman"/>
                <w:i w:val="0"/>
                <w:iCs w:val="0"/>
                <w:sz w:val="20"/>
                <w:szCs w:val="20"/>
                <w:lang w:val="fr-FR" w:eastAsia="ko-KR"/>
              </w:rPr>
              <w:t xml:space="preserve"> (32 CSI-RS ports)</w:t>
            </w:r>
          </w:p>
          <w:p w14:paraId="41438DB2">
            <w:pPr>
              <w:numPr>
                <w:ilvl w:val="1"/>
                <w:numId w:val="8"/>
              </w:numPr>
              <w:spacing w:after="160" w:line="276" w:lineRule="auto"/>
              <w:contextualSpacing/>
              <w:rPr>
                <w:rFonts w:hint="default" w:ascii="Times New Roman" w:hAnsi="Times New Roman" w:eastAsia="等线" w:cs="Times New Roman"/>
                <w:i w:val="0"/>
                <w:iCs w:val="0"/>
                <w:sz w:val="20"/>
                <w:szCs w:val="20"/>
                <w:lang w:val="fr-FR" w:eastAsia="ko-KR"/>
              </w:rPr>
            </w:pPr>
            <w:r>
              <w:rPr>
                <w:rFonts w:hint="default" w:ascii="Times New Roman" w:hAnsi="Times New Roman" w:cs="Times New Roman"/>
                <w:bCs/>
                <w:i w:val="0"/>
                <w:iCs w:val="0"/>
                <w:sz w:val="20"/>
                <w:szCs w:val="20"/>
                <w:lang w:val="fr-FR" w:eastAsia="ko-KR"/>
              </w:rPr>
              <w:t xml:space="preserve">[N1, N2, P] = [2, </w:t>
            </w:r>
            <w:r>
              <w:rPr>
                <w:rFonts w:hint="default" w:ascii="Times New Roman" w:hAnsi="Times New Roman" w:cs="Times New Roman"/>
                <w:i w:val="0"/>
                <w:iCs w:val="0"/>
                <w:sz w:val="20"/>
                <w:szCs w:val="20"/>
                <w:lang w:val="fr-FR" w:eastAsia="ko-KR"/>
              </w:rPr>
              <w:t>4</w:t>
            </w:r>
            <w:r>
              <w:rPr>
                <w:rFonts w:hint="default" w:ascii="Times New Roman" w:hAnsi="Times New Roman" w:cs="Times New Roman"/>
                <w:bCs/>
                <w:i w:val="0"/>
                <w:iCs w:val="0"/>
                <w:sz w:val="20"/>
                <w:szCs w:val="20"/>
                <w:lang w:val="fr-FR" w:eastAsia="ko-KR"/>
              </w:rPr>
              <w:t>, 2]</w:t>
            </w:r>
            <w:r>
              <w:rPr>
                <w:rFonts w:hint="default" w:ascii="Times New Roman" w:hAnsi="Times New Roman" w:cs="Times New Roman"/>
                <w:i w:val="0"/>
                <w:iCs w:val="0"/>
                <w:sz w:val="20"/>
                <w:szCs w:val="20"/>
                <w:lang w:val="fr-FR" w:eastAsia="ko-KR"/>
              </w:rPr>
              <w:t xml:space="preserve"> (16 CSI-RS ports)</w:t>
            </w:r>
          </w:p>
          <w:p w14:paraId="579FBA55">
            <w:pPr>
              <w:numPr>
                <w:ilvl w:val="0"/>
                <w:numId w:val="8"/>
              </w:numPr>
              <w:spacing w:after="160" w:line="276" w:lineRule="auto"/>
              <w:contextualSpacing/>
              <w:rPr>
                <w:rFonts w:hint="default" w:ascii="Times New Roman" w:hAnsi="Times New Roman" w:eastAsia="等线" w:cs="Times New Roman"/>
                <w:i w:val="0"/>
                <w:iCs w:val="0"/>
                <w:sz w:val="20"/>
                <w:szCs w:val="20"/>
                <w:lang w:eastAsia="ko-KR"/>
              </w:rPr>
            </w:pPr>
            <w:r>
              <w:rPr>
                <w:rFonts w:hint="default" w:ascii="Times New Roman" w:hAnsi="Times New Roman" w:eastAsia="等线" w:cs="Times New Roman"/>
                <w:i w:val="0"/>
                <w:iCs w:val="0"/>
                <w:sz w:val="20"/>
                <w:szCs w:val="20"/>
                <w:lang w:eastAsia="ko-KR"/>
              </w:rPr>
              <w:t>CSI feedback payload size</w:t>
            </w:r>
          </w:p>
          <w:p w14:paraId="25BC3276">
            <w:pPr>
              <w:numPr>
                <w:ilvl w:val="1"/>
                <w:numId w:val="8"/>
              </w:numPr>
              <w:spacing w:after="160" w:line="276" w:lineRule="auto"/>
              <w:contextualSpacing/>
              <w:rPr>
                <w:rFonts w:hint="default" w:ascii="Times New Roman" w:hAnsi="Times New Roman" w:eastAsia="等线" w:cs="Times New Roman"/>
                <w:i w:val="0"/>
                <w:iCs w:val="0"/>
                <w:sz w:val="20"/>
                <w:szCs w:val="20"/>
                <w:lang w:eastAsia="ko-KR"/>
              </w:rPr>
            </w:pPr>
            <w:r>
              <w:rPr>
                <w:rFonts w:hint="default" w:ascii="Times New Roman" w:hAnsi="Times New Roman" w:eastAsia="等线" w:cs="Times New Roman"/>
                <w:i w:val="0"/>
                <w:iCs w:val="0"/>
                <w:sz w:val="20"/>
                <w:szCs w:val="20"/>
                <w:lang w:eastAsia="ko-KR"/>
              </w:rPr>
              <w:t>Multiple values, encouraged to pick at least one value from each of small, medium, and large payload regions X, Y, and Z.</w:t>
            </w:r>
          </w:p>
          <w:p w14:paraId="3FE89BB4">
            <w:pPr>
              <w:numPr>
                <w:ilvl w:val="0"/>
                <w:numId w:val="8"/>
              </w:numPr>
              <w:spacing w:after="160" w:line="276" w:lineRule="auto"/>
              <w:contextualSpacing/>
              <w:rPr>
                <w:rFonts w:hint="default" w:ascii="Times New Roman" w:hAnsi="Times New Roman" w:eastAsia="等线" w:cs="Times New Roman"/>
                <w:i w:val="0"/>
                <w:iCs w:val="0"/>
                <w:sz w:val="20"/>
                <w:szCs w:val="20"/>
                <w:lang w:eastAsia="ko-KR"/>
              </w:rPr>
            </w:pPr>
            <w:r>
              <w:rPr>
                <w:rFonts w:hint="default" w:ascii="Times New Roman" w:hAnsi="Times New Roman" w:eastAsia="等线" w:cs="Times New Roman"/>
                <w:i w:val="0"/>
                <w:iCs w:val="0"/>
                <w:sz w:val="20"/>
                <w:szCs w:val="20"/>
                <w:lang w:eastAsia="ko-KR"/>
              </w:rPr>
              <w:t>Bandwidth</w:t>
            </w:r>
            <w:r>
              <w:rPr>
                <w:rFonts w:hint="default" w:ascii="Times New Roman" w:hAnsi="Times New Roman" w:eastAsia="等线" w:cs="Times New Roman"/>
                <w:i w:val="0"/>
                <w:iCs w:val="0"/>
                <w:sz w:val="20"/>
                <w:szCs w:val="20"/>
                <w:lang w:eastAsia="zh-CN"/>
              </w:rPr>
              <w:t xml:space="preserve"> &amp; subband size</w:t>
            </w:r>
          </w:p>
          <w:p w14:paraId="59AA2321">
            <w:pPr>
              <w:numPr>
                <w:ilvl w:val="1"/>
                <w:numId w:val="8"/>
              </w:numPr>
              <w:spacing w:after="160" w:line="276" w:lineRule="auto"/>
              <w:contextualSpacing/>
              <w:rPr>
                <w:rFonts w:hint="default" w:ascii="Times New Roman" w:hAnsi="Times New Roman" w:eastAsia="等线" w:cs="Times New Roman"/>
                <w:i w:val="0"/>
                <w:iCs w:val="0"/>
                <w:sz w:val="20"/>
                <w:szCs w:val="20"/>
                <w:lang w:eastAsia="ko-KR"/>
              </w:rPr>
            </w:pPr>
            <w:r>
              <w:rPr>
                <w:rFonts w:hint="default" w:ascii="Times New Roman" w:hAnsi="Times New Roman" w:eastAsia="等线" w:cs="Times New Roman"/>
                <w:i w:val="0"/>
                <w:iCs w:val="0"/>
                <w:sz w:val="20"/>
                <w:szCs w:val="20"/>
                <w:lang w:eastAsia="ko-KR"/>
              </w:rPr>
              <w:t>All subbands</w:t>
            </w:r>
          </w:p>
          <w:p w14:paraId="6F12818D">
            <w:pPr>
              <w:numPr>
                <w:ilvl w:val="1"/>
                <w:numId w:val="8"/>
              </w:numPr>
              <w:spacing w:after="160" w:line="276" w:lineRule="auto"/>
              <w:contextualSpacing/>
              <w:rPr>
                <w:rFonts w:hint="default" w:ascii="Times New Roman" w:hAnsi="Times New Roman" w:eastAsia="等线" w:cs="Times New Roman"/>
                <w:i w:val="0"/>
                <w:iCs w:val="0"/>
                <w:sz w:val="20"/>
                <w:szCs w:val="20"/>
                <w:lang w:eastAsia="ko-KR"/>
              </w:rPr>
            </w:pPr>
            <w:r>
              <w:rPr>
                <w:rFonts w:hint="default" w:ascii="Times New Roman" w:hAnsi="Times New Roman" w:eastAsia="等线" w:cs="Times New Roman"/>
                <w:i w:val="0"/>
                <w:iCs w:val="0"/>
                <w:sz w:val="20"/>
                <w:szCs w:val="20"/>
                <w:lang w:eastAsia="zh-CN"/>
              </w:rPr>
              <w:t>A subset of all the subbands.</w:t>
            </w:r>
          </w:p>
          <w:p w14:paraId="6A6E91C2">
            <w:pPr>
              <w:spacing w:after="180" w:line="240" w:lineRule="exact"/>
              <w:rPr>
                <w:rFonts w:hint="default" w:ascii="Times New Roman" w:hAnsi="Times New Roman" w:eastAsia="等线" w:cs="Times New Roman"/>
                <w:b/>
                <w:bCs/>
                <w:i w:val="0"/>
                <w:iCs w:val="0"/>
                <w:sz w:val="20"/>
                <w:szCs w:val="20"/>
                <w:vertAlign w:val="baseline"/>
                <w:lang w:val="en-US" w:eastAsia="zh-CN"/>
              </w:rPr>
            </w:pPr>
          </w:p>
        </w:tc>
      </w:tr>
    </w:tbl>
    <w:p w14:paraId="5834195B">
      <w:pPr>
        <w:spacing w:after="180" w:line="240" w:lineRule="exact"/>
        <w:rPr>
          <w:rFonts w:hint="eastAsia" w:ascii="Times New Roman" w:hAnsi="Times New Roman" w:eastAsia="等线"/>
          <w:b/>
          <w:bCs/>
          <w:i/>
          <w:iCs/>
          <w:sz w:val="20"/>
          <w:szCs w:val="20"/>
          <w:lang w:val="en-US" w:eastAsia="zh-CN"/>
        </w:rPr>
      </w:pPr>
    </w:p>
    <w:p w14:paraId="21374D8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i/>
          <w:iCs/>
          <w:sz w:val="20"/>
          <w:szCs w:val="20"/>
          <w:lang w:val="en-US" w:eastAsia="zh-CN"/>
        </w:rPr>
        <w:t xml:space="preserve">Proposal 1: for scalability, it is proposed to follow RAN1 study to consider number of subbands, number of Tx ports, and CSI feedback payload size. </w:t>
      </w:r>
    </w:p>
    <w:p w14:paraId="6E2D383E">
      <w:pPr>
        <w:spacing w:after="180" w:line="240" w:lineRule="exact"/>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In Rel-19 evaluation about the feasibility of test options, dataset are created based on agreed system level simulation assumption [3], which are duplicated as following. </w:t>
      </w:r>
    </w:p>
    <w:p w14:paraId="726A218B">
      <w:pPr>
        <w:jc w:val="center"/>
        <w:rPr>
          <w:rFonts w:hint="default" w:ascii="Times New Roman" w:hAnsi="Times New Roman" w:eastAsia="宋体" w:cs="Times New Roman"/>
          <w:b/>
          <w:bCs/>
          <w:i w:val="0"/>
          <w:iCs w:val="0"/>
          <w:sz w:val="20"/>
          <w:szCs w:val="20"/>
          <w:lang w:val="en-US" w:eastAsia="zh-CN"/>
        </w:rPr>
      </w:pPr>
      <w:r>
        <w:rPr>
          <w:rFonts w:hint="default" w:ascii="Times New Roman" w:hAnsi="Times New Roman" w:cs="Times New Roman"/>
          <w:b/>
          <w:bCs/>
          <w:i w:val="0"/>
          <w:iCs w:val="0"/>
          <w:sz w:val="20"/>
          <w:szCs w:val="20"/>
        </w:rPr>
        <w:t>System-level simulation parameters</w:t>
      </w:r>
      <w:r>
        <w:rPr>
          <w:rFonts w:hint="eastAsia" w:ascii="Times New Roman" w:hAnsi="Times New Roman" w:cs="Times New Roman"/>
          <w:b/>
          <w:bCs/>
          <w:i w:val="0"/>
          <w:iCs w:val="0"/>
          <w:sz w:val="20"/>
          <w:szCs w:val="20"/>
          <w:lang w:val="en-US" w:eastAsia="zh-CN"/>
        </w:rPr>
        <w:t xml:space="preserve"> [3]</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5621"/>
      </w:tblGrid>
      <w:tr w14:paraId="507B8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shd w:val="clear" w:color="auto" w:fill="D9D9D9"/>
          </w:tcPr>
          <w:p w14:paraId="6C95C628">
            <w:pPr>
              <w:pStyle w:val="20"/>
              <w:spacing w:line="256" w:lineRule="auto"/>
            </w:pPr>
            <w:r>
              <w:t>Parameter</w:t>
            </w:r>
          </w:p>
        </w:tc>
        <w:tc>
          <w:tcPr>
            <w:tcW w:w="5621" w:type="dxa"/>
            <w:tcBorders>
              <w:top w:val="single" w:color="auto" w:sz="4" w:space="0"/>
              <w:left w:val="single" w:color="auto" w:sz="4" w:space="0"/>
              <w:bottom w:val="single" w:color="auto" w:sz="4" w:space="0"/>
              <w:right w:val="single" w:color="auto" w:sz="4" w:space="0"/>
            </w:tcBorders>
            <w:shd w:val="clear" w:color="auto" w:fill="D9D9D9"/>
          </w:tcPr>
          <w:p w14:paraId="48DFE5B1">
            <w:pPr>
              <w:pStyle w:val="20"/>
              <w:spacing w:line="256" w:lineRule="auto"/>
            </w:pPr>
            <w:r>
              <w:t>Value</w:t>
            </w:r>
          </w:p>
        </w:tc>
      </w:tr>
      <w:tr w14:paraId="6121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2DD836A2">
            <w:pPr>
              <w:pStyle w:val="22"/>
              <w:spacing w:line="256" w:lineRule="auto"/>
            </w:pPr>
            <w:r>
              <w:rPr>
                <w:lang w:eastAsia="zh-CN"/>
              </w:rPr>
              <w:t>Duplex, Waveform</w:t>
            </w:r>
          </w:p>
        </w:tc>
        <w:tc>
          <w:tcPr>
            <w:tcW w:w="5621" w:type="dxa"/>
            <w:tcBorders>
              <w:top w:val="single" w:color="auto" w:sz="4" w:space="0"/>
              <w:left w:val="single" w:color="auto" w:sz="4" w:space="0"/>
              <w:bottom w:val="single" w:color="auto" w:sz="4" w:space="0"/>
              <w:right w:val="single" w:color="auto" w:sz="4" w:space="0"/>
            </w:tcBorders>
          </w:tcPr>
          <w:p w14:paraId="5AB4B21A">
            <w:pPr>
              <w:pStyle w:val="21"/>
              <w:spacing w:line="256" w:lineRule="auto"/>
              <w:jc w:val="left"/>
            </w:pPr>
            <w:r>
              <w:t>FDD, OFDM</w:t>
            </w:r>
          </w:p>
        </w:tc>
      </w:tr>
      <w:tr w14:paraId="53AFD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5B607537">
            <w:pPr>
              <w:pStyle w:val="22"/>
              <w:spacing w:line="256" w:lineRule="auto"/>
            </w:pPr>
            <w:r>
              <w:rPr>
                <w:lang w:eastAsia="zh-CN"/>
              </w:rPr>
              <w:t>Multiple access</w:t>
            </w:r>
          </w:p>
        </w:tc>
        <w:tc>
          <w:tcPr>
            <w:tcW w:w="5621" w:type="dxa"/>
            <w:tcBorders>
              <w:top w:val="single" w:color="auto" w:sz="4" w:space="0"/>
              <w:left w:val="single" w:color="auto" w:sz="4" w:space="0"/>
              <w:bottom w:val="single" w:color="auto" w:sz="4" w:space="0"/>
              <w:right w:val="single" w:color="auto" w:sz="4" w:space="0"/>
            </w:tcBorders>
          </w:tcPr>
          <w:p w14:paraId="1E7D9AFF">
            <w:pPr>
              <w:pStyle w:val="21"/>
              <w:spacing w:line="256" w:lineRule="auto"/>
              <w:jc w:val="left"/>
            </w:pPr>
            <w:r>
              <w:t>OFDMA</w:t>
            </w:r>
          </w:p>
        </w:tc>
      </w:tr>
      <w:tr w14:paraId="00D2F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1CEC9297">
            <w:pPr>
              <w:pStyle w:val="22"/>
              <w:spacing w:line="256" w:lineRule="auto"/>
            </w:pPr>
            <w:r>
              <w:rPr>
                <w:lang w:eastAsia="zh-CN"/>
              </w:rPr>
              <w:t>Scenario</w:t>
            </w:r>
          </w:p>
        </w:tc>
        <w:tc>
          <w:tcPr>
            <w:tcW w:w="5621" w:type="dxa"/>
            <w:tcBorders>
              <w:top w:val="single" w:color="auto" w:sz="4" w:space="0"/>
              <w:left w:val="single" w:color="auto" w:sz="4" w:space="0"/>
              <w:bottom w:val="single" w:color="auto" w:sz="4" w:space="0"/>
              <w:right w:val="single" w:color="auto" w:sz="4" w:space="0"/>
            </w:tcBorders>
          </w:tcPr>
          <w:p w14:paraId="3AC05D95">
            <w:pPr>
              <w:keepNext/>
              <w:keepLines/>
              <w:spacing w:after="0" w:line="256" w:lineRule="auto"/>
              <w:jc w:val="both"/>
              <w:rPr>
                <w:rFonts w:ascii="Arial" w:hAnsi="Arial"/>
                <w:sz w:val="18"/>
              </w:rPr>
            </w:pPr>
            <w:r>
              <w:rPr>
                <w:rFonts w:ascii="Arial" w:hAnsi="Arial"/>
                <w:sz w:val="18"/>
              </w:rPr>
              <w:t>Dense Urban (Macro only)</w:t>
            </w:r>
          </w:p>
        </w:tc>
      </w:tr>
      <w:tr w14:paraId="282D2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382E3BB5">
            <w:pPr>
              <w:pStyle w:val="22"/>
              <w:spacing w:line="256" w:lineRule="auto"/>
            </w:pPr>
            <w:r>
              <w:rPr>
                <w:lang w:eastAsia="zh-CN"/>
              </w:rPr>
              <w:t>Frequency Range</w:t>
            </w:r>
          </w:p>
        </w:tc>
        <w:tc>
          <w:tcPr>
            <w:tcW w:w="5621" w:type="dxa"/>
            <w:tcBorders>
              <w:top w:val="single" w:color="auto" w:sz="4" w:space="0"/>
              <w:left w:val="single" w:color="auto" w:sz="4" w:space="0"/>
              <w:bottom w:val="single" w:color="auto" w:sz="4" w:space="0"/>
              <w:right w:val="single" w:color="auto" w:sz="4" w:space="0"/>
            </w:tcBorders>
          </w:tcPr>
          <w:p w14:paraId="60B5593B">
            <w:pPr>
              <w:pStyle w:val="21"/>
              <w:spacing w:line="256" w:lineRule="auto"/>
              <w:jc w:val="left"/>
            </w:pPr>
            <w:r>
              <w:rPr>
                <w:snapToGrid w:val="0"/>
              </w:rPr>
              <w:t>FR1 only, [2GHz, 4GHz]</w:t>
            </w:r>
          </w:p>
        </w:tc>
      </w:tr>
      <w:tr w14:paraId="5A535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6738E4D8">
            <w:pPr>
              <w:pStyle w:val="22"/>
              <w:spacing w:line="256" w:lineRule="auto"/>
            </w:pPr>
            <w:r>
              <w:rPr>
                <w:lang w:eastAsia="zh-CN"/>
              </w:rPr>
              <w:t>Inter-BS distance</w:t>
            </w:r>
          </w:p>
        </w:tc>
        <w:tc>
          <w:tcPr>
            <w:tcW w:w="5621" w:type="dxa"/>
            <w:tcBorders>
              <w:top w:val="single" w:color="auto" w:sz="4" w:space="0"/>
              <w:left w:val="single" w:color="auto" w:sz="4" w:space="0"/>
              <w:bottom w:val="single" w:color="auto" w:sz="4" w:space="0"/>
              <w:right w:val="single" w:color="auto" w:sz="4" w:space="0"/>
            </w:tcBorders>
          </w:tcPr>
          <w:p w14:paraId="0CB01647">
            <w:pPr>
              <w:pStyle w:val="21"/>
              <w:spacing w:line="256" w:lineRule="auto"/>
              <w:jc w:val="left"/>
            </w:pPr>
            <w:r>
              <w:t>200m</w:t>
            </w:r>
          </w:p>
        </w:tc>
      </w:tr>
      <w:tr w14:paraId="5BF20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49AA8D5C">
            <w:pPr>
              <w:pStyle w:val="22"/>
              <w:spacing w:line="256" w:lineRule="auto"/>
            </w:pPr>
            <w:r>
              <w:rPr>
                <w:lang w:val="en-US" w:eastAsia="zh-CN"/>
              </w:rPr>
              <w:t>Channel model        </w:t>
            </w:r>
          </w:p>
        </w:tc>
        <w:tc>
          <w:tcPr>
            <w:tcW w:w="5621" w:type="dxa"/>
            <w:tcBorders>
              <w:top w:val="single" w:color="auto" w:sz="4" w:space="0"/>
              <w:left w:val="single" w:color="auto" w:sz="4" w:space="0"/>
              <w:bottom w:val="single" w:color="auto" w:sz="4" w:space="0"/>
              <w:right w:val="single" w:color="auto" w:sz="4" w:space="0"/>
            </w:tcBorders>
          </w:tcPr>
          <w:p w14:paraId="2EFDDC1D">
            <w:pPr>
              <w:pStyle w:val="21"/>
              <w:spacing w:line="256" w:lineRule="auto"/>
              <w:jc w:val="left"/>
            </w:pPr>
            <w:r>
              <w:t>According to TR 38.901</w:t>
            </w:r>
          </w:p>
        </w:tc>
      </w:tr>
      <w:tr w14:paraId="73E54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6F3420B2">
            <w:pPr>
              <w:pStyle w:val="22"/>
              <w:spacing w:line="256" w:lineRule="auto"/>
            </w:pPr>
            <w:r>
              <w:rPr>
                <w:lang w:eastAsia="zh-CN"/>
              </w:rPr>
              <w:t>Antenna setup and port layouts at gNB</w:t>
            </w:r>
          </w:p>
        </w:tc>
        <w:tc>
          <w:tcPr>
            <w:tcW w:w="5621" w:type="dxa"/>
            <w:tcBorders>
              <w:top w:val="single" w:color="auto" w:sz="4" w:space="0"/>
              <w:left w:val="single" w:color="auto" w:sz="4" w:space="0"/>
              <w:bottom w:val="single" w:color="auto" w:sz="4" w:space="0"/>
              <w:right w:val="single" w:color="auto" w:sz="4" w:space="0"/>
            </w:tcBorders>
          </w:tcPr>
          <w:p w14:paraId="3DD74081">
            <w:pPr>
              <w:keepNext/>
              <w:keepLines/>
              <w:spacing w:after="0" w:line="256" w:lineRule="auto"/>
              <w:jc w:val="both"/>
              <w:rPr>
                <w:rFonts w:ascii="Arial" w:hAnsi="Arial" w:cs="Arial"/>
                <w:sz w:val="18"/>
                <w:szCs w:val="18"/>
                <w:lang w:val="en-US" w:eastAsia="zh-CN"/>
              </w:rPr>
            </w:pPr>
            <w:r>
              <w:rPr>
                <w:rFonts w:ascii="Arial" w:hAnsi="Arial" w:cs="Arial"/>
                <w:sz w:val="18"/>
                <w:szCs w:val="18"/>
                <w:lang w:eastAsia="zh-CN"/>
              </w:rPr>
              <w:t>Companies need to report which option(s) are used between</w:t>
            </w:r>
          </w:p>
          <w:p w14:paraId="05D267D0">
            <w:pPr>
              <w:keepNext/>
              <w:keepLines/>
              <w:spacing w:after="0" w:line="256" w:lineRule="auto"/>
              <w:jc w:val="both"/>
              <w:rPr>
                <w:rFonts w:ascii="Arial" w:hAnsi="Arial" w:cs="Arial"/>
                <w:sz w:val="18"/>
                <w:szCs w:val="18"/>
                <w:lang w:val="fr-FR" w:eastAsia="zh-CN"/>
              </w:rPr>
            </w:pPr>
            <w:r>
              <w:rPr>
                <w:rFonts w:ascii="Arial" w:hAnsi="Arial" w:cs="Arial"/>
                <w:sz w:val="18"/>
                <w:szCs w:val="18"/>
                <w:lang w:val="fr-FR" w:eastAsia="zh-CN"/>
              </w:rPr>
              <w:t>- 32 ports: (8,8,2,1,1,2,8), (dH,dV) = (0.5, 0.8)</w:t>
            </w:r>
            <w:r>
              <w:rPr>
                <w:rFonts w:ascii="Arial" w:hAnsi="Arial" w:cs="Arial"/>
                <w:sz w:val="18"/>
                <w:szCs w:val="18"/>
                <w:lang w:eastAsia="zh-CN"/>
              </w:rPr>
              <w:t>λ</w:t>
            </w:r>
          </w:p>
        </w:tc>
      </w:tr>
      <w:tr w14:paraId="3A60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3EC64E43">
            <w:pPr>
              <w:pStyle w:val="22"/>
              <w:keepNext w:val="0"/>
              <w:keepLines w:val="0"/>
              <w:widowControl w:val="0"/>
              <w:spacing w:line="256" w:lineRule="auto"/>
              <w:rPr>
                <w:rFonts w:cs="Times New Roman"/>
                <w:szCs w:val="20"/>
                <w:lang w:eastAsia="zh-CN"/>
              </w:rPr>
            </w:pPr>
            <w:r>
              <w:rPr>
                <w:lang w:eastAsia="zh-CN"/>
              </w:rPr>
              <w:t>Antenna setup and port layouts at UE</w:t>
            </w:r>
          </w:p>
        </w:tc>
        <w:tc>
          <w:tcPr>
            <w:tcW w:w="5621" w:type="dxa"/>
            <w:tcBorders>
              <w:top w:val="single" w:color="auto" w:sz="4" w:space="0"/>
              <w:left w:val="single" w:color="auto" w:sz="4" w:space="0"/>
              <w:bottom w:val="single" w:color="auto" w:sz="4" w:space="0"/>
              <w:right w:val="single" w:color="auto" w:sz="4" w:space="0"/>
            </w:tcBorders>
          </w:tcPr>
          <w:p w14:paraId="58B53289">
            <w:pPr>
              <w:widowControl w:val="0"/>
              <w:spacing w:after="0" w:line="256" w:lineRule="auto"/>
              <w:jc w:val="both"/>
              <w:rPr>
                <w:rFonts w:ascii="Arial" w:hAnsi="Arial" w:cs="Arial"/>
                <w:sz w:val="18"/>
                <w:szCs w:val="18"/>
                <w:lang w:val="en-US" w:eastAsia="zh-CN"/>
              </w:rPr>
            </w:pPr>
            <w:r>
              <w:rPr>
                <w:rFonts w:ascii="Arial" w:hAnsi="Arial" w:cs="Arial"/>
                <w:sz w:val="18"/>
                <w:szCs w:val="18"/>
                <w:lang w:eastAsia="zh-CN"/>
              </w:rPr>
              <w:t>4RX: (1,2,2,1,1,1,2), (dH,dV) = (0.5, 0.5)λ for (rank 1-4)</w:t>
            </w:r>
          </w:p>
        </w:tc>
      </w:tr>
      <w:tr w14:paraId="7F5B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26570025">
            <w:pPr>
              <w:pStyle w:val="22"/>
              <w:keepNext w:val="0"/>
              <w:keepLines w:val="0"/>
              <w:widowControl w:val="0"/>
              <w:spacing w:line="256" w:lineRule="auto"/>
              <w:rPr>
                <w:rFonts w:cs="Times New Roman"/>
                <w:szCs w:val="20"/>
                <w:lang w:eastAsia="zh-CN"/>
              </w:rPr>
            </w:pPr>
            <w:r>
              <w:rPr>
                <w:lang w:eastAsia="zh-CN"/>
              </w:rPr>
              <w:t>BS Tx power</w:t>
            </w:r>
          </w:p>
        </w:tc>
        <w:tc>
          <w:tcPr>
            <w:tcW w:w="5621" w:type="dxa"/>
            <w:tcBorders>
              <w:top w:val="single" w:color="auto" w:sz="4" w:space="0"/>
              <w:left w:val="single" w:color="auto" w:sz="4" w:space="0"/>
              <w:bottom w:val="single" w:color="auto" w:sz="4" w:space="0"/>
              <w:right w:val="single" w:color="auto" w:sz="4" w:space="0"/>
            </w:tcBorders>
          </w:tcPr>
          <w:p w14:paraId="72AD59D0">
            <w:pPr>
              <w:pStyle w:val="21"/>
              <w:keepNext w:val="0"/>
              <w:keepLines w:val="0"/>
              <w:widowControl w:val="0"/>
              <w:spacing w:line="256" w:lineRule="auto"/>
              <w:jc w:val="left"/>
              <w:rPr>
                <w:rFonts w:eastAsia="MS Mincho" w:cs="Arial"/>
                <w:szCs w:val="18"/>
                <w:lang w:eastAsia="en-US"/>
              </w:rPr>
            </w:pPr>
            <w:r>
              <w:rPr>
                <w:rFonts w:eastAsia="宋体" w:cs="Arial"/>
                <w:szCs w:val="18"/>
                <w:lang w:eastAsia="zh-CN"/>
              </w:rPr>
              <w:t>44dBm for 20MHz</w:t>
            </w:r>
          </w:p>
        </w:tc>
      </w:tr>
      <w:tr w14:paraId="08CC8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7461F135">
            <w:pPr>
              <w:pStyle w:val="22"/>
              <w:keepNext w:val="0"/>
              <w:keepLines w:val="0"/>
              <w:widowControl w:val="0"/>
              <w:spacing w:line="256" w:lineRule="auto"/>
              <w:rPr>
                <w:rFonts w:cs="Times New Roman"/>
                <w:szCs w:val="20"/>
                <w:lang w:eastAsia="zh-CN"/>
              </w:rPr>
            </w:pPr>
            <w:r>
              <w:rPr>
                <w:lang w:eastAsia="zh-CN"/>
              </w:rPr>
              <w:t>BS antenna height</w:t>
            </w:r>
          </w:p>
        </w:tc>
        <w:tc>
          <w:tcPr>
            <w:tcW w:w="5621" w:type="dxa"/>
            <w:tcBorders>
              <w:top w:val="single" w:color="auto" w:sz="4" w:space="0"/>
              <w:left w:val="single" w:color="auto" w:sz="4" w:space="0"/>
              <w:bottom w:val="single" w:color="auto" w:sz="4" w:space="0"/>
              <w:right w:val="single" w:color="auto" w:sz="4" w:space="0"/>
            </w:tcBorders>
          </w:tcPr>
          <w:p w14:paraId="6C6F66ED">
            <w:pPr>
              <w:pStyle w:val="21"/>
              <w:keepNext w:val="0"/>
              <w:keepLines w:val="0"/>
              <w:widowControl w:val="0"/>
              <w:spacing w:line="256" w:lineRule="auto"/>
              <w:jc w:val="left"/>
              <w:rPr>
                <w:rFonts w:eastAsia="MS Mincho" w:cs="Arial"/>
                <w:szCs w:val="18"/>
                <w:lang w:eastAsia="en-US"/>
              </w:rPr>
            </w:pPr>
            <w:r>
              <w:rPr>
                <w:rFonts w:eastAsia="宋体" w:cs="Arial"/>
                <w:szCs w:val="18"/>
                <w:lang w:eastAsia="zh-CN"/>
              </w:rPr>
              <w:t>25m</w:t>
            </w:r>
          </w:p>
        </w:tc>
      </w:tr>
      <w:tr w14:paraId="54A6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29AB3604">
            <w:pPr>
              <w:pStyle w:val="22"/>
              <w:keepNext w:val="0"/>
              <w:keepLines w:val="0"/>
              <w:widowControl w:val="0"/>
              <w:spacing w:line="256" w:lineRule="auto"/>
              <w:rPr>
                <w:rFonts w:cs="Times New Roman"/>
                <w:szCs w:val="20"/>
                <w:lang w:eastAsia="zh-CN"/>
              </w:rPr>
            </w:pPr>
            <w:r>
              <w:rPr>
                <w:lang w:eastAsia="zh-CN"/>
              </w:rPr>
              <w:t>UE antenna height &amp; gain</w:t>
            </w:r>
          </w:p>
        </w:tc>
        <w:tc>
          <w:tcPr>
            <w:tcW w:w="5621" w:type="dxa"/>
            <w:tcBorders>
              <w:top w:val="single" w:color="auto" w:sz="4" w:space="0"/>
              <w:left w:val="single" w:color="auto" w:sz="4" w:space="0"/>
              <w:bottom w:val="single" w:color="auto" w:sz="4" w:space="0"/>
              <w:right w:val="single" w:color="auto" w:sz="4" w:space="0"/>
            </w:tcBorders>
          </w:tcPr>
          <w:p w14:paraId="284405FB">
            <w:pPr>
              <w:pStyle w:val="21"/>
              <w:keepNext w:val="0"/>
              <w:keepLines w:val="0"/>
              <w:widowControl w:val="0"/>
              <w:spacing w:line="256" w:lineRule="auto"/>
              <w:jc w:val="left"/>
              <w:rPr>
                <w:rFonts w:eastAsia="MS Mincho" w:cs="Arial"/>
                <w:szCs w:val="18"/>
                <w:lang w:eastAsia="en-US"/>
              </w:rPr>
            </w:pPr>
            <w:r>
              <w:rPr>
                <w:rFonts w:eastAsia="宋体" w:cs="Arial"/>
                <w:szCs w:val="18"/>
                <w:lang w:eastAsia="zh-CN"/>
              </w:rPr>
              <w:t>Follow TR36.873</w:t>
            </w:r>
          </w:p>
        </w:tc>
      </w:tr>
      <w:tr w14:paraId="50DC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06770A46">
            <w:pPr>
              <w:pStyle w:val="22"/>
              <w:keepNext w:val="0"/>
              <w:keepLines w:val="0"/>
              <w:widowControl w:val="0"/>
              <w:spacing w:line="256" w:lineRule="auto"/>
              <w:rPr>
                <w:rFonts w:cs="Times New Roman"/>
                <w:szCs w:val="20"/>
                <w:lang w:eastAsia="zh-CN"/>
              </w:rPr>
            </w:pPr>
            <w:r>
              <w:rPr>
                <w:lang w:eastAsia="zh-CN"/>
              </w:rPr>
              <w:t>UE receiver noise figure</w:t>
            </w:r>
          </w:p>
        </w:tc>
        <w:tc>
          <w:tcPr>
            <w:tcW w:w="5621" w:type="dxa"/>
            <w:tcBorders>
              <w:top w:val="single" w:color="auto" w:sz="4" w:space="0"/>
              <w:left w:val="single" w:color="auto" w:sz="4" w:space="0"/>
              <w:bottom w:val="single" w:color="auto" w:sz="4" w:space="0"/>
              <w:right w:val="single" w:color="auto" w:sz="4" w:space="0"/>
            </w:tcBorders>
          </w:tcPr>
          <w:p w14:paraId="1FD1DB73">
            <w:pPr>
              <w:pStyle w:val="21"/>
              <w:keepNext w:val="0"/>
              <w:keepLines w:val="0"/>
              <w:widowControl w:val="0"/>
              <w:spacing w:line="256" w:lineRule="auto"/>
              <w:jc w:val="left"/>
              <w:rPr>
                <w:rFonts w:eastAsia="MS Mincho" w:cs="Arial"/>
                <w:szCs w:val="18"/>
                <w:lang w:eastAsia="en-US"/>
              </w:rPr>
            </w:pPr>
            <w:r>
              <w:rPr>
                <w:rFonts w:eastAsia="宋体" w:cs="Arial"/>
                <w:szCs w:val="18"/>
                <w:lang w:eastAsia="zh-CN"/>
              </w:rPr>
              <w:t>9dB</w:t>
            </w:r>
          </w:p>
        </w:tc>
      </w:tr>
      <w:tr w14:paraId="68B86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restart"/>
            <w:tcBorders>
              <w:top w:val="single" w:color="auto" w:sz="4" w:space="0"/>
              <w:left w:val="single" w:color="auto" w:sz="4" w:space="0"/>
              <w:bottom w:val="single" w:color="auto" w:sz="4" w:space="0"/>
              <w:right w:val="single" w:color="auto" w:sz="4" w:space="0"/>
            </w:tcBorders>
          </w:tcPr>
          <w:p w14:paraId="38BB9491">
            <w:pPr>
              <w:pStyle w:val="22"/>
              <w:keepNext w:val="0"/>
              <w:keepLines w:val="0"/>
              <w:widowControl w:val="0"/>
              <w:spacing w:line="256" w:lineRule="auto"/>
              <w:rPr>
                <w:rFonts w:cs="Times New Roman"/>
                <w:szCs w:val="20"/>
                <w:lang w:eastAsia="zh-CN"/>
              </w:rPr>
            </w:pPr>
            <w:r>
              <w:rPr>
                <w:lang w:eastAsia="zh-CN"/>
              </w:rPr>
              <w:t>Numerology</w:t>
            </w:r>
          </w:p>
        </w:tc>
        <w:tc>
          <w:tcPr>
            <w:tcW w:w="1642" w:type="dxa"/>
            <w:tcBorders>
              <w:top w:val="single" w:color="auto" w:sz="4" w:space="0"/>
              <w:left w:val="single" w:color="auto" w:sz="4" w:space="0"/>
              <w:bottom w:val="single" w:color="auto" w:sz="4" w:space="0"/>
              <w:right w:val="single" w:color="auto" w:sz="4" w:space="0"/>
            </w:tcBorders>
          </w:tcPr>
          <w:p w14:paraId="0F3F5140">
            <w:pPr>
              <w:pStyle w:val="22"/>
              <w:keepNext w:val="0"/>
              <w:keepLines w:val="0"/>
              <w:widowControl w:val="0"/>
              <w:spacing w:line="256" w:lineRule="auto"/>
              <w:rPr>
                <w:lang w:eastAsia="zh-CN"/>
              </w:rPr>
            </w:pPr>
            <w:r>
              <w:rPr>
                <w:lang w:eastAsia="zh-CN"/>
              </w:rPr>
              <w:t>Slot/non-slot</w:t>
            </w:r>
          </w:p>
        </w:tc>
        <w:tc>
          <w:tcPr>
            <w:tcW w:w="5621" w:type="dxa"/>
            <w:tcBorders>
              <w:top w:val="single" w:color="auto" w:sz="4" w:space="0"/>
              <w:left w:val="single" w:color="auto" w:sz="4" w:space="0"/>
              <w:bottom w:val="single" w:color="auto" w:sz="4" w:space="0"/>
              <w:right w:val="single" w:color="auto" w:sz="4" w:space="0"/>
            </w:tcBorders>
          </w:tcPr>
          <w:p w14:paraId="0B1CBE2C">
            <w:pPr>
              <w:pStyle w:val="21"/>
              <w:keepNext w:val="0"/>
              <w:keepLines w:val="0"/>
              <w:widowControl w:val="0"/>
              <w:spacing w:line="256" w:lineRule="auto"/>
              <w:jc w:val="left"/>
              <w:rPr>
                <w:rFonts w:eastAsia="MS Mincho" w:cs="Arial"/>
                <w:szCs w:val="18"/>
                <w:lang w:eastAsia="en-US"/>
              </w:rPr>
            </w:pPr>
            <w:r>
              <w:rPr>
                <w:rFonts w:eastAsia="宋体"/>
                <w:lang w:eastAsia="zh-CN"/>
              </w:rPr>
              <w:t>14 OFDM symbol slot</w:t>
            </w:r>
          </w:p>
        </w:tc>
      </w:tr>
      <w:tr w14:paraId="1B82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continue"/>
            <w:tcBorders>
              <w:top w:val="single" w:color="auto" w:sz="4" w:space="0"/>
              <w:left w:val="single" w:color="auto" w:sz="4" w:space="0"/>
              <w:bottom w:val="single" w:color="auto" w:sz="4" w:space="0"/>
              <w:right w:val="single" w:color="auto" w:sz="4" w:space="0"/>
            </w:tcBorders>
            <w:vAlign w:val="center"/>
          </w:tcPr>
          <w:p w14:paraId="0472B284">
            <w:pPr>
              <w:spacing w:after="0" w:line="256" w:lineRule="auto"/>
              <w:rPr>
                <w:rFonts w:ascii="Arial" w:hAnsi="Arial"/>
                <w:sz w:val="18"/>
                <w:lang w:eastAsia="zh-CN"/>
              </w:rPr>
            </w:pPr>
          </w:p>
        </w:tc>
        <w:tc>
          <w:tcPr>
            <w:tcW w:w="1642" w:type="dxa"/>
            <w:tcBorders>
              <w:top w:val="single" w:color="auto" w:sz="4" w:space="0"/>
              <w:left w:val="single" w:color="auto" w:sz="4" w:space="0"/>
              <w:bottom w:val="single" w:color="auto" w:sz="4" w:space="0"/>
              <w:right w:val="single" w:color="auto" w:sz="4" w:space="0"/>
            </w:tcBorders>
          </w:tcPr>
          <w:p w14:paraId="3F3713AC">
            <w:pPr>
              <w:pStyle w:val="22"/>
              <w:keepNext w:val="0"/>
              <w:keepLines w:val="0"/>
              <w:widowControl w:val="0"/>
              <w:spacing w:line="256" w:lineRule="auto"/>
              <w:rPr>
                <w:rFonts w:cs="Times New Roman"/>
                <w:szCs w:val="20"/>
                <w:lang w:eastAsia="zh-CN"/>
              </w:rPr>
            </w:pPr>
            <w:r>
              <w:rPr>
                <w:lang w:eastAsia="zh-CN"/>
              </w:rPr>
              <w:t>SCS</w:t>
            </w:r>
          </w:p>
        </w:tc>
        <w:tc>
          <w:tcPr>
            <w:tcW w:w="5621" w:type="dxa"/>
            <w:tcBorders>
              <w:top w:val="single" w:color="auto" w:sz="4" w:space="0"/>
              <w:left w:val="single" w:color="auto" w:sz="4" w:space="0"/>
              <w:bottom w:val="single" w:color="auto" w:sz="4" w:space="0"/>
              <w:right w:val="single" w:color="auto" w:sz="4" w:space="0"/>
            </w:tcBorders>
          </w:tcPr>
          <w:p w14:paraId="3EFA7D49">
            <w:pPr>
              <w:pStyle w:val="21"/>
              <w:keepNext w:val="0"/>
              <w:spacing w:line="252" w:lineRule="auto"/>
              <w:jc w:val="left"/>
              <w:rPr>
                <w:lang w:eastAsia="zh-CN"/>
              </w:rPr>
            </w:pPr>
            <w:r>
              <w:rPr>
                <w:lang w:eastAsia="zh-CN"/>
              </w:rPr>
              <w:t xml:space="preserve">Baseline: 15kHz for 2GHz; </w:t>
            </w:r>
          </w:p>
          <w:p w14:paraId="2AA51E28">
            <w:pPr>
              <w:pStyle w:val="21"/>
              <w:keepNext w:val="0"/>
              <w:keepLines w:val="0"/>
              <w:widowControl w:val="0"/>
              <w:spacing w:line="256" w:lineRule="auto"/>
              <w:jc w:val="left"/>
              <w:rPr>
                <w:rFonts w:hint="eastAsia" w:eastAsia="游明朝"/>
                <w:lang w:eastAsia="ja-JP"/>
              </w:rPr>
            </w:pPr>
            <w:r>
              <w:rPr>
                <w:lang w:eastAsia="zh-CN"/>
              </w:rPr>
              <w:t>Optional: 30kHz for 4GHz</w:t>
            </w:r>
          </w:p>
        </w:tc>
      </w:tr>
      <w:tr w14:paraId="6582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7E41BD0C">
            <w:pPr>
              <w:pStyle w:val="22"/>
              <w:keepNext w:val="0"/>
              <w:keepLines w:val="0"/>
              <w:widowControl w:val="0"/>
              <w:spacing w:line="256" w:lineRule="auto"/>
              <w:rPr>
                <w:rFonts w:cs="Times New Roman"/>
                <w:szCs w:val="20"/>
                <w:lang w:eastAsia="zh-CN"/>
              </w:rPr>
            </w:pPr>
            <w:r>
              <w:rPr>
                <w:lang w:eastAsia="zh-CN"/>
              </w:rPr>
              <w:t>Simulation bandwidth</w:t>
            </w:r>
          </w:p>
        </w:tc>
        <w:tc>
          <w:tcPr>
            <w:tcW w:w="5621" w:type="dxa"/>
            <w:tcBorders>
              <w:top w:val="single" w:color="auto" w:sz="4" w:space="0"/>
              <w:left w:val="single" w:color="auto" w:sz="4" w:space="0"/>
              <w:bottom w:val="single" w:color="auto" w:sz="4" w:space="0"/>
              <w:right w:val="single" w:color="auto" w:sz="4" w:space="0"/>
            </w:tcBorders>
          </w:tcPr>
          <w:p w14:paraId="3AFE7304">
            <w:pPr>
              <w:pStyle w:val="21"/>
              <w:keepNext w:val="0"/>
              <w:spacing w:line="252" w:lineRule="auto"/>
              <w:jc w:val="left"/>
              <w:rPr>
                <w:snapToGrid w:val="0"/>
              </w:rPr>
            </w:pPr>
            <w:r>
              <w:rPr>
                <w:lang w:eastAsia="zh-CN"/>
              </w:rPr>
              <w:t xml:space="preserve">Baseline: </w:t>
            </w:r>
            <w:r>
              <w:rPr>
                <w:snapToGrid w:val="0"/>
              </w:rPr>
              <w:t>10 MHz for 15kHz</w:t>
            </w:r>
          </w:p>
          <w:p w14:paraId="4E8F2B75">
            <w:pPr>
              <w:pStyle w:val="21"/>
              <w:keepNext w:val="0"/>
              <w:keepLines w:val="0"/>
              <w:widowControl w:val="0"/>
              <w:spacing w:line="256" w:lineRule="auto"/>
              <w:jc w:val="left"/>
              <w:rPr>
                <w:rFonts w:eastAsia="MS Mincho"/>
                <w:snapToGrid w:val="0"/>
                <w:lang w:eastAsia="en-US"/>
              </w:rPr>
            </w:pPr>
            <w:r>
              <w:rPr>
                <w:rFonts w:hint="eastAsia"/>
                <w:snapToGrid w:val="0"/>
              </w:rPr>
              <w:t>Optional: 20 MHz for 30kHz</w:t>
            </w:r>
          </w:p>
        </w:tc>
      </w:tr>
      <w:tr w14:paraId="3A308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6CD1CA68">
            <w:pPr>
              <w:pStyle w:val="22"/>
              <w:keepNext w:val="0"/>
              <w:keepLines w:val="0"/>
              <w:widowControl w:val="0"/>
              <w:spacing w:line="256" w:lineRule="auto"/>
              <w:rPr>
                <w:lang w:eastAsia="zh-CN"/>
              </w:rPr>
            </w:pPr>
            <w:r>
              <w:rPr>
                <w:lang w:eastAsia="zh-CN"/>
              </w:rPr>
              <w:t>Frame structure</w:t>
            </w:r>
          </w:p>
        </w:tc>
        <w:tc>
          <w:tcPr>
            <w:tcW w:w="5621" w:type="dxa"/>
            <w:tcBorders>
              <w:top w:val="single" w:color="auto" w:sz="4" w:space="0"/>
              <w:left w:val="single" w:color="auto" w:sz="4" w:space="0"/>
              <w:bottom w:val="single" w:color="auto" w:sz="4" w:space="0"/>
              <w:right w:val="single" w:color="auto" w:sz="4" w:space="0"/>
            </w:tcBorders>
          </w:tcPr>
          <w:p w14:paraId="474EEEEB">
            <w:pPr>
              <w:pStyle w:val="21"/>
              <w:keepNext w:val="0"/>
              <w:keepLines w:val="0"/>
              <w:widowControl w:val="0"/>
              <w:spacing w:line="256" w:lineRule="auto"/>
              <w:jc w:val="left"/>
              <w:rPr>
                <w:rFonts w:eastAsia="MS Mincho" w:cs="Arial"/>
                <w:szCs w:val="18"/>
                <w:lang w:eastAsia="en-US"/>
              </w:rPr>
            </w:pPr>
            <w:r>
              <w:rPr>
                <w:rFonts w:eastAsia="宋体" w:cs="Arial"/>
                <w:szCs w:val="18"/>
                <w:lang w:eastAsia="zh-CN"/>
              </w:rPr>
              <w:t>Slot Format 0 (all downlink) for all slots</w:t>
            </w:r>
          </w:p>
        </w:tc>
      </w:tr>
      <w:tr w14:paraId="1FA5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71AC00B4">
            <w:pPr>
              <w:pStyle w:val="22"/>
              <w:keepNext w:val="0"/>
              <w:keepLines w:val="0"/>
              <w:widowControl w:val="0"/>
              <w:spacing w:line="256" w:lineRule="auto"/>
              <w:rPr>
                <w:rFonts w:cs="Times New Roman"/>
                <w:szCs w:val="20"/>
                <w:lang w:eastAsia="zh-CN"/>
              </w:rPr>
            </w:pPr>
            <w:r>
              <w:rPr>
                <w:lang w:eastAsia="zh-CN"/>
              </w:rPr>
              <w:t>MIMO scheme</w:t>
            </w:r>
          </w:p>
        </w:tc>
        <w:tc>
          <w:tcPr>
            <w:tcW w:w="5621" w:type="dxa"/>
            <w:tcBorders>
              <w:top w:val="single" w:color="auto" w:sz="4" w:space="0"/>
              <w:left w:val="single" w:color="auto" w:sz="4" w:space="0"/>
              <w:bottom w:val="single" w:color="auto" w:sz="4" w:space="0"/>
              <w:right w:val="single" w:color="auto" w:sz="4" w:space="0"/>
            </w:tcBorders>
          </w:tcPr>
          <w:p w14:paraId="6EA3DEC4">
            <w:pPr>
              <w:pStyle w:val="21"/>
              <w:keepNext w:val="0"/>
              <w:keepLines w:val="0"/>
              <w:widowControl w:val="0"/>
              <w:spacing w:line="256" w:lineRule="auto"/>
              <w:jc w:val="left"/>
              <w:rPr>
                <w:rFonts w:eastAsia="MS Mincho" w:cs="Arial"/>
                <w:szCs w:val="18"/>
                <w:lang w:eastAsia="en-US"/>
              </w:rPr>
            </w:pPr>
            <w:r>
              <w:rPr>
                <w:rFonts w:cs="Arial"/>
                <w:szCs w:val="18"/>
              </w:rPr>
              <w:t>SU-MIMO</w:t>
            </w:r>
          </w:p>
        </w:tc>
      </w:tr>
      <w:tr w14:paraId="3EB13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14:paraId="3DCB884E">
            <w:pPr>
              <w:pStyle w:val="22"/>
              <w:keepNext w:val="0"/>
              <w:keepLines w:val="0"/>
              <w:widowControl w:val="0"/>
              <w:spacing w:line="256" w:lineRule="auto"/>
              <w:rPr>
                <w:rFonts w:cs="Times New Roman"/>
                <w:szCs w:val="20"/>
                <w:lang w:eastAsia="zh-CN"/>
              </w:rPr>
            </w:pPr>
            <w:r>
              <w:rPr>
                <w:lang w:val="en-US" w:eastAsia="zh-CN"/>
              </w:rPr>
              <w:t>MIMO layers</w:t>
            </w:r>
          </w:p>
        </w:tc>
        <w:tc>
          <w:tcPr>
            <w:tcW w:w="5621" w:type="dxa"/>
            <w:tcBorders>
              <w:top w:val="single" w:color="auto" w:sz="4" w:space="0"/>
              <w:left w:val="single" w:color="auto" w:sz="4" w:space="0"/>
              <w:bottom w:val="single" w:color="auto" w:sz="4" w:space="0"/>
              <w:right w:val="single" w:color="auto" w:sz="4" w:space="0"/>
            </w:tcBorders>
          </w:tcPr>
          <w:p w14:paraId="4438FCBD">
            <w:pPr>
              <w:pStyle w:val="21"/>
              <w:keepNext w:val="0"/>
              <w:spacing w:line="252" w:lineRule="auto"/>
              <w:jc w:val="left"/>
              <w:rPr>
                <w:lang w:eastAsia="zh-CN"/>
              </w:rPr>
            </w:pPr>
            <w:r>
              <w:rPr>
                <w:lang w:eastAsia="zh-CN"/>
              </w:rPr>
              <w:t>Baseline: 1</w:t>
            </w:r>
          </w:p>
          <w:p w14:paraId="5944C7C9">
            <w:pPr>
              <w:pStyle w:val="21"/>
              <w:keepNext w:val="0"/>
              <w:keepLines w:val="0"/>
              <w:widowControl w:val="0"/>
              <w:spacing w:line="256" w:lineRule="auto"/>
              <w:jc w:val="left"/>
              <w:rPr>
                <w:rFonts w:eastAsia="MS Mincho" w:cs="Arial"/>
                <w:szCs w:val="18"/>
                <w:lang w:eastAsia="en-US"/>
              </w:rPr>
            </w:pPr>
            <w:r>
              <w:rPr>
                <w:rFonts w:hint="eastAsia"/>
                <w:lang w:eastAsia="zh-CN"/>
              </w:rPr>
              <w:t>Optional: 2</w:t>
            </w:r>
          </w:p>
        </w:tc>
      </w:tr>
      <w:tr w14:paraId="287D0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14:paraId="309C4B12">
            <w:pPr>
              <w:pStyle w:val="22"/>
              <w:keepNext w:val="0"/>
              <w:keepLines w:val="0"/>
              <w:widowControl w:val="0"/>
              <w:spacing w:line="256" w:lineRule="auto"/>
              <w:rPr>
                <w:rFonts w:cs="Times New Roman"/>
                <w:szCs w:val="20"/>
                <w:lang w:eastAsia="zh-CN"/>
              </w:rPr>
            </w:pPr>
            <w:r>
              <w:rPr>
                <w:lang w:val="en-US" w:eastAsia="zh-CN"/>
              </w:rPr>
              <w:t>CSI feedback</w:t>
            </w:r>
          </w:p>
        </w:tc>
        <w:tc>
          <w:tcPr>
            <w:tcW w:w="5621" w:type="dxa"/>
            <w:tcBorders>
              <w:top w:val="single" w:color="auto" w:sz="4" w:space="0"/>
              <w:left w:val="single" w:color="auto" w:sz="4" w:space="0"/>
              <w:bottom w:val="single" w:color="auto" w:sz="4" w:space="0"/>
              <w:right w:val="single" w:color="auto" w:sz="4" w:space="0"/>
            </w:tcBorders>
          </w:tcPr>
          <w:p w14:paraId="76F8BF76">
            <w:pPr>
              <w:widowControl w:val="0"/>
              <w:spacing w:after="0" w:line="256" w:lineRule="auto"/>
              <w:jc w:val="both"/>
              <w:rPr>
                <w:rFonts w:ascii="Arial" w:hAnsi="Arial" w:cs="Arial"/>
                <w:sz w:val="18"/>
                <w:szCs w:val="18"/>
                <w:lang w:val="en-US" w:eastAsia="zh-CN"/>
              </w:rPr>
            </w:pPr>
            <w:r>
              <w:rPr>
                <w:rFonts w:ascii="Arial" w:hAnsi="Arial" w:cs="Arial"/>
                <w:sz w:val="18"/>
                <w:szCs w:val="18"/>
                <w:lang w:eastAsia="zh-CN"/>
              </w:rPr>
              <w:t>Feedback assumption at least for baseline scheme</w:t>
            </w:r>
          </w:p>
          <w:p w14:paraId="3FD60E79">
            <w:pPr>
              <w:widowControl w:val="0"/>
              <w:spacing w:after="0" w:line="221" w:lineRule="atLeast"/>
              <w:jc w:val="both"/>
              <w:textAlignment w:val="baseline"/>
              <w:rPr>
                <w:rFonts w:ascii="Arial" w:hAnsi="Arial" w:eastAsia="Microsoft YaHei UI" w:cs="Arial"/>
                <w:sz w:val="18"/>
                <w:szCs w:val="18"/>
                <w:lang w:eastAsia="zh-CN"/>
              </w:rPr>
            </w:pPr>
            <w:r>
              <w:rPr>
                <w:rFonts w:ascii="Arial" w:hAnsi="Arial" w:eastAsia="Microsoft YaHei UI" w:cs="Arial"/>
                <w:sz w:val="18"/>
                <w:szCs w:val="18"/>
                <w:lang w:eastAsia="zh-CN"/>
              </w:rPr>
              <w:t xml:space="preserve">- CSI feedback periodicity </w:t>
            </w:r>
            <w:r>
              <w:rPr>
                <w:rFonts w:ascii="Arial" w:hAnsi="Arial" w:eastAsia="Microsoft YaHei UI" w:cs="Arial"/>
                <w:sz w:val="14"/>
                <w:szCs w:val="14"/>
                <w:lang w:eastAsia="zh-CN"/>
              </w:rPr>
              <w:t>(full CSI feedback)</w:t>
            </w:r>
            <w:r>
              <w:rPr>
                <w:rFonts w:ascii="Arial" w:hAnsi="Arial" w:eastAsia="Microsoft YaHei UI" w:cs="Arial"/>
                <w:sz w:val="18"/>
                <w:szCs w:val="18"/>
                <w:lang w:eastAsia="zh-CN"/>
              </w:rPr>
              <w:t>: 5 ms (baseline)</w:t>
            </w:r>
          </w:p>
          <w:p w14:paraId="11F6147F">
            <w:pPr>
              <w:widowControl w:val="0"/>
              <w:spacing w:after="0" w:line="221" w:lineRule="atLeast"/>
              <w:jc w:val="both"/>
              <w:textAlignment w:val="baseline"/>
              <w:rPr>
                <w:rFonts w:ascii="Arial" w:hAnsi="Arial" w:eastAsia="MS Mincho" w:cs="Arial"/>
                <w:sz w:val="18"/>
                <w:szCs w:val="18"/>
              </w:rPr>
            </w:pPr>
            <w:r>
              <w:rPr>
                <w:rFonts w:ascii="Arial" w:hAnsi="Arial" w:eastAsia="Microsoft YaHei UI" w:cs="Arial"/>
                <w:sz w:val="18"/>
                <w:szCs w:val="18"/>
                <w:lang w:eastAsia="zh-CN"/>
              </w:rPr>
              <w:t xml:space="preserve">- Scheduling delay </w:t>
            </w:r>
            <w:r>
              <w:rPr>
                <w:rFonts w:ascii="Arial" w:hAnsi="Arial" w:eastAsia="Microsoft YaHei UI" w:cs="Arial"/>
                <w:sz w:val="14"/>
                <w:szCs w:val="14"/>
                <w:lang w:eastAsia="zh-CN"/>
              </w:rPr>
              <w:t>(from CSI feedback to time to apply in scheduling)</w:t>
            </w:r>
            <w:r>
              <w:rPr>
                <w:rFonts w:ascii="Arial" w:hAnsi="Arial" w:eastAsia="Microsoft YaHei UI" w:cs="Arial"/>
                <w:sz w:val="18"/>
                <w:szCs w:val="18"/>
                <w:lang w:eastAsia="zh-CN"/>
              </w:rPr>
              <w:t>: 4 ms</w:t>
            </w:r>
          </w:p>
        </w:tc>
      </w:tr>
      <w:tr w14:paraId="4645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6047061C">
            <w:pPr>
              <w:pStyle w:val="22"/>
              <w:keepNext w:val="0"/>
              <w:keepLines w:val="0"/>
              <w:widowControl w:val="0"/>
              <w:spacing w:line="256" w:lineRule="auto"/>
              <w:rPr>
                <w:rFonts w:cs="Times New Roman"/>
                <w:szCs w:val="20"/>
                <w:lang w:eastAsia="zh-CN"/>
              </w:rPr>
            </w:pPr>
            <w:r>
              <w:rPr>
                <w:lang w:val="en-US" w:eastAsia="zh-CN"/>
              </w:rPr>
              <w:t>Traffic load (Resource utilization)</w:t>
            </w:r>
          </w:p>
        </w:tc>
        <w:tc>
          <w:tcPr>
            <w:tcW w:w="5621" w:type="dxa"/>
            <w:tcBorders>
              <w:top w:val="single" w:color="auto" w:sz="4" w:space="0"/>
              <w:left w:val="single" w:color="auto" w:sz="4" w:space="0"/>
              <w:bottom w:val="single" w:color="auto" w:sz="4" w:space="0"/>
              <w:right w:val="single" w:color="auto" w:sz="4" w:space="0"/>
            </w:tcBorders>
          </w:tcPr>
          <w:p w14:paraId="1FC23BE3">
            <w:pPr>
              <w:pStyle w:val="21"/>
              <w:keepNext w:val="0"/>
              <w:spacing w:line="252" w:lineRule="auto"/>
              <w:jc w:val="left"/>
            </w:pPr>
            <w:r>
              <w:t>Baseline: 50%</w:t>
            </w:r>
          </w:p>
          <w:p w14:paraId="79803386">
            <w:pPr>
              <w:pStyle w:val="21"/>
              <w:keepNext w:val="0"/>
              <w:keepLines w:val="0"/>
              <w:widowControl w:val="0"/>
              <w:spacing w:line="256" w:lineRule="auto"/>
              <w:jc w:val="left"/>
              <w:rPr>
                <w:rFonts w:eastAsia="MS Mincho" w:cs="Arial"/>
                <w:szCs w:val="18"/>
                <w:lang w:eastAsia="en-US"/>
              </w:rPr>
            </w:pPr>
            <w:r>
              <w:rPr>
                <w:rFonts w:hint="eastAsia"/>
              </w:rPr>
              <w:t>Optional: 20/70%</w:t>
            </w:r>
            <w:r>
              <w:rPr>
                <w:rFonts w:cs="Arial"/>
                <w:szCs w:val="18"/>
              </w:rPr>
              <w:t xml:space="preserve"> </w:t>
            </w:r>
          </w:p>
        </w:tc>
      </w:tr>
      <w:tr w14:paraId="06593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79378AE0">
            <w:pPr>
              <w:pStyle w:val="22"/>
              <w:keepNext w:val="0"/>
              <w:keepLines w:val="0"/>
              <w:widowControl w:val="0"/>
              <w:spacing w:line="256" w:lineRule="auto"/>
              <w:rPr>
                <w:rFonts w:cs="Times New Roman"/>
                <w:szCs w:val="20"/>
                <w:lang w:eastAsia="zh-CN"/>
              </w:rPr>
            </w:pPr>
            <w:r>
              <w:rPr>
                <w:lang w:val="en-US" w:eastAsia="zh-CN"/>
              </w:rPr>
              <w:t>UE distribution</w:t>
            </w:r>
          </w:p>
        </w:tc>
        <w:tc>
          <w:tcPr>
            <w:tcW w:w="5621" w:type="dxa"/>
            <w:tcBorders>
              <w:top w:val="single" w:color="auto" w:sz="4" w:space="0"/>
              <w:left w:val="single" w:color="auto" w:sz="4" w:space="0"/>
              <w:bottom w:val="single" w:color="auto" w:sz="4" w:space="0"/>
              <w:right w:val="single" w:color="auto" w:sz="4" w:space="0"/>
            </w:tcBorders>
          </w:tcPr>
          <w:p w14:paraId="62D7A81D">
            <w:pPr>
              <w:widowControl w:val="0"/>
              <w:spacing w:after="0" w:line="256" w:lineRule="auto"/>
              <w:jc w:val="both"/>
              <w:rPr>
                <w:rFonts w:ascii="Arial" w:hAnsi="Arial" w:cs="Arial"/>
                <w:sz w:val="18"/>
                <w:szCs w:val="18"/>
                <w:lang w:val="en-US" w:eastAsia="zh-CN"/>
              </w:rPr>
            </w:pPr>
            <w:r>
              <w:rPr>
                <w:rFonts w:ascii="Arial" w:hAnsi="Arial" w:cs="Arial"/>
                <w:sz w:val="18"/>
                <w:szCs w:val="18"/>
                <w:lang w:val="en-US" w:eastAsia="zh-CN"/>
              </w:rPr>
              <w:t>CSI compression: 80% indoor (3 km/h), 20% outdoor (30 km/h)</w:t>
            </w:r>
          </w:p>
        </w:tc>
      </w:tr>
      <w:tr w14:paraId="48A6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2821468C">
            <w:pPr>
              <w:pStyle w:val="22"/>
              <w:keepNext w:val="0"/>
              <w:keepLines w:val="0"/>
              <w:widowControl w:val="0"/>
              <w:spacing w:line="256" w:lineRule="auto"/>
              <w:rPr>
                <w:rFonts w:cs="Times New Roman"/>
                <w:szCs w:val="20"/>
                <w:lang w:eastAsia="zh-CN"/>
              </w:rPr>
            </w:pPr>
            <w:r>
              <w:rPr>
                <w:lang w:val="en-US" w:eastAsia="zh-CN"/>
              </w:rPr>
              <w:t>UE receiver</w:t>
            </w:r>
          </w:p>
        </w:tc>
        <w:tc>
          <w:tcPr>
            <w:tcW w:w="5621" w:type="dxa"/>
            <w:tcBorders>
              <w:top w:val="single" w:color="auto" w:sz="4" w:space="0"/>
              <w:left w:val="single" w:color="auto" w:sz="4" w:space="0"/>
              <w:bottom w:val="single" w:color="auto" w:sz="4" w:space="0"/>
              <w:right w:val="single" w:color="auto" w:sz="4" w:space="0"/>
            </w:tcBorders>
          </w:tcPr>
          <w:p w14:paraId="1F9C4240">
            <w:pPr>
              <w:pStyle w:val="21"/>
              <w:keepNext w:val="0"/>
              <w:keepLines w:val="0"/>
              <w:widowControl w:val="0"/>
              <w:spacing w:line="256" w:lineRule="auto"/>
              <w:jc w:val="left"/>
              <w:rPr>
                <w:rFonts w:eastAsia="MS Mincho" w:cs="Arial"/>
                <w:szCs w:val="18"/>
                <w:lang w:eastAsia="en-US"/>
              </w:rPr>
            </w:pPr>
            <w:r>
              <w:rPr>
                <w:rFonts w:eastAsia="宋体" w:cs="Arial"/>
                <w:szCs w:val="18"/>
                <w:lang w:eastAsia="zh-CN"/>
              </w:rPr>
              <w:t>MMSE-IRC as the baseline receiver</w:t>
            </w:r>
          </w:p>
        </w:tc>
      </w:tr>
      <w:tr w14:paraId="1DD7B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31A99713">
            <w:pPr>
              <w:pStyle w:val="22"/>
              <w:keepNext w:val="0"/>
              <w:keepLines w:val="0"/>
              <w:widowControl w:val="0"/>
              <w:spacing w:line="256" w:lineRule="auto"/>
              <w:rPr>
                <w:rFonts w:cs="Times New Roman"/>
                <w:szCs w:val="20"/>
                <w:lang w:eastAsia="zh-CN"/>
              </w:rPr>
            </w:pPr>
            <w:r>
              <w:rPr>
                <w:lang w:val="en-US" w:eastAsia="zh-CN"/>
              </w:rPr>
              <w:t>Feedback assumption</w:t>
            </w:r>
          </w:p>
        </w:tc>
        <w:tc>
          <w:tcPr>
            <w:tcW w:w="5621" w:type="dxa"/>
            <w:tcBorders>
              <w:top w:val="single" w:color="auto" w:sz="4" w:space="0"/>
              <w:left w:val="single" w:color="auto" w:sz="4" w:space="0"/>
              <w:bottom w:val="single" w:color="auto" w:sz="4" w:space="0"/>
              <w:right w:val="single" w:color="auto" w:sz="4" w:space="0"/>
            </w:tcBorders>
          </w:tcPr>
          <w:p w14:paraId="52157FE1">
            <w:pPr>
              <w:pStyle w:val="21"/>
              <w:keepNext w:val="0"/>
              <w:keepLines w:val="0"/>
              <w:widowControl w:val="0"/>
              <w:spacing w:line="256" w:lineRule="auto"/>
              <w:jc w:val="left"/>
              <w:rPr>
                <w:rFonts w:eastAsia="MS Mincho" w:cs="Arial"/>
                <w:szCs w:val="18"/>
                <w:lang w:eastAsia="en-US"/>
              </w:rPr>
            </w:pPr>
            <w:r>
              <w:rPr>
                <w:rFonts w:eastAsia="宋体" w:cs="Arial"/>
                <w:szCs w:val="18"/>
                <w:lang w:eastAsia="zh-CN"/>
              </w:rPr>
              <w:t>Realistic</w:t>
            </w:r>
          </w:p>
        </w:tc>
      </w:tr>
      <w:tr w14:paraId="72A8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14:paraId="78459747">
            <w:pPr>
              <w:pStyle w:val="22"/>
              <w:keepNext w:val="0"/>
              <w:keepLines w:val="0"/>
              <w:widowControl w:val="0"/>
              <w:spacing w:line="256" w:lineRule="auto"/>
              <w:rPr>
                <w:rFonts w:cs="Times New Roman"/>
                <w:szCs w:val="20"/>
                <w:lang w:eastAsia="zh-CN"/>
              </w:rPr>
            </w:pPr>
            <w:r>
              <w:rPr>
                <w:lang w:val="en-US" w:eastAsia="zh-CN"/>
              </w:rPr>
              <w:t>Channel estimation         </w:t>
            </w:r>
          </w:p>
        </w:tc>
        <w:tc>
          <w:tcPr>
            <w:tcW w:w="5621" w:type="dxa"/>
            <w:tcBorders>
              <w:top w:val="single" w:color="auto" w:sz="4" w:space="0"/>
              <w:left w:val="single" w:color="auto" w:sz="4" w:space="0"/>
              <w:bottom w:val="single" w:color="auto" w:sz="4" w:space="0"/>
              <w:right w:val="single" w:color="auto" w:sz="4" w:space="0"/>
            </w:tcBorders>
          </w:tcPr>
          <w:p w14:paraId="20C97ACD">
            <w:pPr>
              <w:widowControl w:val="0"/>
              <w:spacing w:after="0" w:line="256" w:lineRule="auto"/>
              <w:rPr>
                <w:rFonts w:hint="eastAsia" w:eastAsia="游明朝" w:cs="Arial"/>
                <w:szCs w:val="18"/>
                <w:lang w:eastAsia="ja-JP"/>
              </w:rPr>
            </w:pPr>
            <w:r>
              <w:rPr>
                <w:rFonts w:ascii="Arial" w:hAnsi="Arial" w:cs="Arial"/>
                <w:sz w:val="18"/>
                <w:szCs w:val="18"/>
                <w:lang w:val="en-US" w:eastAsia="zh-CN"/>
              </w:rPr>
              <w:t>Realistic</w:t>
            </w:r>
            <w:r>
              <w:rPr>
                <w:rFonts w:hint="eastAsia" w:ascii="Arial" w:hAnsi="Arial" w:eastAsia="游明朝" w:cs="Arial"/>
                <w:sz w:val="18"/>
                <w:szCs w:val="18"/>
                <w:lang w:val="en-US" w:eastAsia="ja-JP"/>
              </w:rPr>
              <w:t xml:space="preserve"> or ideal channel estimation</w:t>
            </w:r>
          </w:p>
          <w:p w14:paraId="6C78D5A0">
            <w:pPr>
              <w:pStyle w:val="21"/>
              <w:keepNext w:val="0"/>
              <w:keepLines w:val="0"/>
              <w:widowControl w:val="0"/>
              <w:spacing w:line="256" w:lineRule="auto"/>
              <w:jc w:val="left"/>
              <w:rPr>
                <w:rFonts w:cs="Arial"/>
                <w:szCs w:val="18"/>
              </w:rPr>
            </w:pPr>
          </w:p>
        </w:tc>
      </w:tr>
    </w:tbl>
    <w:p w14:paraId="3B15CD44">
      <w:pPr>
        <w:rPr>
          <w:rFonts w:hint="eastAsia" w:eastAsia="MS Mincho"/>
        </w:rPr>
      </w:pPr>
    </w:p>
    <w:p w14:paraId="0CF75F76">
      <w:pPr>
        <w:spacing w:after="180" w:line="240" w:lineRule="exact"/>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System-level simulation parameters</w:t>
      </w:r>
      <w:r>
        <w:rPr>
          <w:rFonts w:hint="eastAsia" w:ascii="Times New Roman" w:hAnsi="Times New Roman" w:cs="Times New Roman"/>
          <w:bCs/>
          <w:sz w:val="20"/>
          <w:szCs w:val="20"/>
          <w:lang w:val="en-US" w:eastAsia="zh-CN"/>
        </w:rPr>
        <w:t xml:space="preserve"> used in Rel-19 to create dataset can be used baseline, and further update on number of subbands, number of Tx ports, and CSI feedback payload size to consider the scalability.</w:t>
      </w:r>
    </w:p>
    <w:p w14:paraId="198ACF0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dataset creation, it is proposed that the system-level simulation parameters used in Rel-19 to create dataset can be used baseline, and further update on number of subbands, number of Tx ports to consider the scalability impact.</w:t>
      </w:r>
    </w:p>
    <w:p w14:paraId="7FE022C3">
      <w:pPr>
        <w:numPr>
          <w:ilvl w:val="0"/>
          <w:numId w:val="8"/>
        </w:numPr>
        <w:spacing w:after="160" w:line="276" w:lineRule="auto"/>
        <w:contextualSpacing/>
        <w:rPr>
          <w:rFonts w:hint="default" w:ascii="Times New Roman" w:hAnsi="Times New Roman" w:eastAsia="等线" w:cs="Times New Roman"/>
          <w:b/>
          <w:bCs/>
          <w:i/>
          <w:iCs/>
          <w:sz w:val="20"/>
          <w:szCs w:val="20"/>
          <w:lang w:eastAsia="ko-KR"/>
        </w:rPr>
      </w:pPr>
      <w:r>
        <w:rPr>
          <w:rFonts w:hint="default" w:ascii="Times New Roman" w:hAnsi="Times New Roman" w:eastAsia="宋体" w:cs="Times New Roman"/>
          <w:b/>
          <w:bCs/>
          <w:i/>
          <w:iCs/>
          <w:sz w:val="20"/>
          <w:szCs w:val="20"/>
          <w:lang w:eastAsia="zh-CN"/>
        </w:rPr>
        <w:t>Number of Tx ports</w:t>
      </w:r>
      <w:r>
        <w:rPr>
          <w:rFonts w:hint="default" w:ascii="Times New Roman" w:hAnsi="Times New Roman" w:cs="Times New Roman"/>
          <w:b/>
          <w:bCs/>
          <w:i/>
          <w:iCs/>
          <w:sz w:val="20"/>
          <w:szCs w:val="20"/>
          <w:lang w:eastAsia="ko-KR"/>
        </w:rPr>
        <w:t xml:space="preserve"> </w:t>
      </w:r>
    </w:p>
    <w:p w14:paraId="05784654">
      <w:pPr>
        <w:numPr>
          <w:ilvl w:val="1"/>
          <w:numId w:val="8"/>
        </w:numPr>
        <w:spacing w:after="160" w:line="276" w:lineRule="auto"/>
        <w:contextualSpacing/>
        <w:rPr>
          <w:rFonts w:hint="default" w:ascii="Times New Roman" w:hAnsi="Times New Roman" w:eastAsia="等线" w:cs="Times New Roman"/>
          <w:b/>
          <w:bCs/>
          <w:i/>
          <w:iCs/>
          <w:sz w:val="20"/>
          <w:szCs w:val="20"/>
          <w:lang w:val="fr-FR" w:eastAsia="ko-KR"/>
        </w:rPr>
      </w:pPr>
      <w:r>
        <w:rPr>
          <w:rFonts w:hint="default" w:ascii="Times New Roman" w:hAnsi="Times New Roman" w:cs="Times New Roman"/>
          <w:b/>
          <w:bCs/>
          <w:i/>
          <w:iCs/>
          <w:sz w:val="20"/>
          <w:szCs w:val="20"/>
          <w:lang w:val="fr-FR" w:eastAsia="ko-KR"/>
        </w:rPr>
        <w:t>[N1, N2, P] = [2, 8, 2] (32 CSI-RS ports)</w:t>
      </w:r>
    </w:p>
    <w:p w14:paraId="03F6CAD4">
      <w:pPr>
        <w:numPr>
          <w:ilvl w:val="1"/>
          <w:numId w:val="8"/>
        </w:numPr>
        <w:spacing w:after="160" w:line="276" w:lineRule="auto"/>
        <w:contextualSpacing/>
        <w:rPr>
          <w:rFonts w:hint="default" w:ascii="Times New Roman" w:hAnsi="Times New Roman" w:eastAsia="等线" w:cs="Times New Roman"/>
          <w:b/>
          <w:bCs/>
          <w:i/>
          <w:iCs/>
          <w:sz w:val="20"/>
          <w:szCs w:val="20"/>
          <w:lang w:val="fr-FR" w:eastAsia="ko-KR"/>
        </w:rPr>
      </w:pPr>
      <w:r>
        <w:rPr>
          <w:rFonts w:hint="default" w:ascii="Times New Roman" w:hAnsi="Times New Roman" w:cs="Times New Roman"/>
          <w:b/>
          <w:bCs/>
          <w:i/>
          <w:iCs/>
          <w:sz w:val="20"/>
          <w:szCs w:val="20"/>
          <w:lang w:val="fr-FR" w:eastAsia="ko-KR"/>
        </w:rPr>
        <w:t>[N1, N2, P] = [4,4,2] (32 CSI-RS ports)</w:t>
      </w:r>
    </w:p>
    <w:p w14:paraId="4A5C12B3">
      <w:pPr>
        <w:numPr>
          <w:ilvl w:val="1"/>
          <w:numId w:val="8"/>
        </w:numPr>
        <w:spacing w:after="160" w:line="276" w:lineRule="auto"/>
        <w:contextualSpacing/>
        <w:rPr>
          <w:rFonts w:hint="default" w:ascii="Times New Roman" w:hAnsi="Times New Roman" w:eastAsia="等线" w:cs="Times New Roman"/>
          <w:b/>
          <w:bCs/>
          <w:i/>
          <w:iCs/>
          <w:sz w:val="20"/>
          <w:szCs w:val="20"/>
          <w:lang w:val="fr-FR" w:eastAsia="ko-KR"/>
        </w:rPr>
      </w:pPr>
      <w:r>
        <w:rPr>
          <w:rFonts w:hint="default" w:ascii="Times New Roman" w:hAnsi="Times New Roman" w:cs="Times New Roman"/>
          <w:b/>
          <w:bCs/>
          <w:i/>
          <w:iCs/>
          <w:sz w:val="20"/>
          <w:szCs w:val="20"/>
          <w:lang w:val="fr-FR" w:eastAsia="ko-KR"/>
        </w:rPr>
        <w:t>[N1, N2, P] = [2, 4, 2] (16 CSI-RS ports)</w:t>
      </w:r>
    </w:p>
    <w:p w14:paraId="09D01AFF">
      <w:pPr>
        <w:numPr>
          <w:ilvl w:val="0"/>
          <w:numId w:val="8"/>
        </w:numPr>
        <w:spacing w:after="160" w:line="276" w:lineRule="auto"/>
        <w:contextualSpacing/>
        <w:rPr>
          <w:rFonts w:hint="default" w:ascii="Times New Roman" w:hAnsi="Times New Roman" w:eastAsia="等线" w:cs="Times New Roman"/>
          <w:b/>
          <w:bCs/>
          <w:i/>
          <w:iCs/>
          <w:sz w:val="20"/>
          <w:szCs w:val="20"/>
          <w:lang w:eastAsia="ko-KR"/>
        </w:rPr>
      </w:pPr>
      <w:r>
        <w:rPr>
          <w:rFonts w:hint="default" w:ascii="Times New Roman" w:hAnsi="Times New Roman" w:eastAsia="等线" w:cs="Times New Roman"/>
          <w:b/>
          <w:bCs/>
          <w:i/>
          <w:iCs/>
          <w:sz w:val="20"/>
          <w:szCs w:val="20"/>
          <w:lang w:eastAsia="ko-KR"/>
        </w:rPr>
        <w:t>Bandwidth</w:t>
      </w:r>
      <w:r>
        <w:rPr>
          <w:rFonts w:hint="default" w:ascii="Times New Roman" w:hAnsi="Times New Roman" w:eastAsia="等线" w:cs="Times New Roman"/>
          <w:b/>
          <w:bCs/>
          <w:i/>
          <w:iCs/>
          <w:sz w:val="20"/>
          <w:szCs w:val="20"/>
          <w:lang w:eastAsia="zh-CN"/>
        </w:rPr>
        <w:t xml:space="preserve"> &amp; subband size</w:t>
      </w:r>
    </w:p>
    <w:p w14:paraId="4FC51474">
      <w:pPr>
        <w:numPr>
          <w:ilvl w:val="1"/>
          <w:numId w:val="8"/>
        </w:numPr>
        <w:spacing w:after="160" w:line="276" w:lineRule="auto"/>
        <w:contextualSpacing/>
        <w:rPr>
          <w:rFonts w:hint="default" w:ascii="Times New Roman" w:hAnsi="Times New Roman" w:eastAsia="等线" w:cs="Times New Roman"/>
          <w:b/>
          <w:bCs/>
          <w:i/>
          <w:iCs/>
          <w:sz w:val="20"/>
          <w:szCs w:val="20"/>
          <w:lang w:eastAsia="ko-KR"/>
        </w:rPr>
      </w:pPr>
      <w:r>
        <w:rPr>
          <w:rFonts w:hint="default" w:ascii="Times New Roman" w:hAnsi="Times New Roman" w:eastAsia="等线" w:cs="Times New Roman"/>
          <w:b/>
          <w:bCs/>
          <w:i/>
          <w:iCs/>
          <w:sz w:val="20"/>
          <w:szCs w:val="20"/>
          <w:lang w:eastAsia="ko-KR"/>
        </w:rPr>
        <w:t>All subbands</w:t>
      </w:r>
    </w:p>
    <w:p w14:paraId="4011710F">
      <w:pPr>
        <w:numPr>
          <w:ilvl w:val="1"/>
          <w:numId w:val="8"/>
        </w:numPr>
        <w:spacing w:after="160" w:line="276" w:lineRule="auto"/>
        <w:contextualSpacing/>
        <w:rPr>
          <w:rFonts w:hint="default" w:ascii="Times New Roman" w:hAnsi="Times New Roman" w:eastAsia="等线" w:cs="Times New Roman"/>
          <w:b/>
          <w:bCs/>
          <w:i/>
          <w:iCs/>
          <w:sz w:val="20"/>
          <w:szCs w:val="20"/>
          <w:lang w:eastAsia="ko-KR"/>
        </w:rPr>
      </w:pPr>
      <w:r>
        <w:rPr>
          <w:rFonts w:hint="default" w:ascii="Times New Roman" w:hAnsi="Times New Roman" w:eastAsia="等线" w:cs="Times New Roman"/>
          <w:b/>
          <w:bCs/>
          <w:i/>
          <w:iCs/>
          <w:sz w:val="20"/>
          <w:szCs w:val="20"/>
          <w:lang w:eastAsia="zh-CN"/>
        </w:rPr>
        <w:t>A subset of all the subbands.</w:t>
      </w:r>
    </w:p>
    <w:p w14:paraId="25298581">
      <w:pPr>
        <w:spacing w:after="180" w:line="240" w:lineRule="exact"/>
        <w:rPr>
          <w:rFonts w:hint="default" w:ascii="Times New Roman" w:hAnsi="Times New Roman" w:eastAsia="宋体" w:cs="Times New Roman"/>
          <w:i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 The proposals are:</w:t>
      </w:r>
    </w:p>
    <w:p w14:paraId="4DF452B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i/>
          <w:iCs/>
          <w:sz w:val="20"/>
          <w:szCs w:val="20"/>
          <w:lang w:val="en-US" w:eastAsia="zh-CN"/>
        </w:rPr>
        <w:t xml:space="preserve">Proposal 1: for scalability, it is proposed to follow RAN1 study to consider number of subbands, number of Tx ports, and CSI feedback payload size. </w:t>
      </w:r>
    </w:p>
    <w:p w14:paraId="72BBD5A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dataset creation, it is proposed that the system-level simulation parameters used in Rel-19 to create dataset can be used baseline, and further update on number of subbands, number of Tx ports to consider the scalability impact.</w:t>
      </w:r>
    </w:p>
    <w:p w14:paraId="29965EDC">
      <w:pPr>
        <w:numPr>
          <w:ilvl w:val="0"/>
          <w:numId w:val="8"/>
        </w:numPr>
        <w:spacing w:after="160" w:line="276" w:lineRule="auto"/>
        <w:contextualSpacing/>
        <w:rPr>
          <w:rFonts w:hint="default" w:ascii="Times New Roman" w:hAnsi="Times New Roman" w:eastAsia="等线" w:cs="Times New Roman"/>
          <w:b/>
          <w:bCs/>
          <w:i/>
          <w:iCs/>
          <w:sz w:val="20"/>
          <w:szCs w:val="20"/>
          <w:lang w:eastAsia="ko-KR"/>
        </w:rPr>
      </w:pPr>
      <w:r>
        <w:rPr>
          <w:rFonts w:hint="default" w:ascii="Times New Roman" w:hAnsi="Times New Roman" w:eastAsia="宋体" w:cs="Times New Roman"/>
          <w:b/>
          <w:bCs/>
          <w:i/>
          <w:iCs/>
          <w:sz w:val="20"/>
          <w:szCs w:val="20"/>
          <w:lang w:eastAsia="zh-CN"/>
        </w:rPr>
        <w:t>Number of Tx ports</w:t>
      </w:r>
      <w:r>
        <w:rPr>
          <w:rFonts w:hint="default" w:ascii="Times New Roman" w:hAnsi="Times New Roman" w:cs="Times New Roman"/>
          <w:b/>
          <w:bCs/>
          <w:i/>
          <w:iCs/>
          <w:sz w:val="20"/>
          <w:szCs w:val="20"/>
          <w:lang w:eastAsia="ko-KR"/>
        </w:rPr>
        <w:t xml:space="preserve"> </w:t>
      </w:r>
    </w:p>
    <w:p w14:paraId="10ECA266">
      <w:pPr>
        <w:numPr>
          <w:ilvl w:val="1"/>
          <w:numId w:val="8"/>
        </w:numPr>
        <w:spacing w:after="160" w:line="276" w:lineRule="auto"/>
        <w:contextualSpacing/>
        <w:rPr>
          <w:rFonts w:hint="default" w:ascii="Times New Roman" w:hAnsi="Times New Roman" w:eastAsia="等线" w:cs="Times New Roman"/>
          <w:b/>
          <w:bCs/>
          <w:i/>
          <w:iCs/>
          <w:sz w:val="20"/>
          <w:szCs w:val="20"/>
          <w:lang w:val="fr-FR" w:eastAsia="ko-KR"/>
        </w:rPr>
      </w:pPr>
      <w:r>
        <w:rPr>
          <w:rFonts w:hint="default" w:ascii="Times New Roman" w:hAnsi="Times New Roman" w:cs="Times New Roman"/>
          <w:b/>
          <w:bCs/>
          <w:i/>
          <w:iCs/>
          <w:sz w:val="20"/>
          <w:szCs w:val="20"/>
          <w:lang w:val="fr-FR" w:eastAsia="ko-KR"/>
        </w:rPr>
        <w:t>[N1, N2, P] = [2, 8, 2] (32 CSI-RS ports)</w:t>
      </w:r>
    </w:p>
    <w:p w14:paraId="03B77E5A">
      <w:pPr>
        <w:numPr>
          <w:ilvl w:val="1"/>
          <w:numId w:val="8"/>
        </w:numPr>
        <w:spacing w:after="160" w:line="276" w:lineRule="auto"/>
        <w:contextualSpacing/>
        <w:rPr>
          <w:rFonts w:hint="default" w:ascii="Times New Roman" w:hAnsi="Times New Roman" w:eastAsia="等线" w:cs="Times New Roman"/>
          <w:b/>
          <w:bCs/>
          <w:i/>
          <w:iCs/>
          <w:sz w:val="20"/>
          <w:szCs w:val="20"/>
          <w:lang w:val="fr-FR" w:eastAsia="ko-KR"/>
        </w:rPr>
      </w:pPr>
      <w:r>
        <w:rPr>
          <w:rFonts w:hint="default" w:ascii="Times New Roman" w:hAnsi="Times New Roman" w:cs="Times New Roman"/>
          <w:b/>
          <w:bCs/>
          <w:i/>
          <w:iCs/>
          <w:sz w:val="20"/>
          <w:szCs w:val="20"/>
          <w:lang w:val="fr-FR" w:eastAsia="ko-KR"/>
        </w:rPr>
        <w:t>[N1, N2, P] = [4,4,2] (32 CSI-RS ports)</w:t>
      </w:r>
    </w:p>
    <w:p w14:paraId="3BBADC3F">
      <w:pPr>
        <w:numPr>
          <w:ilvl w:val="1"/>
          <w:numId w:val="8"/>
        </w:numPr>
        <w:spacing w:after="160" w:line="276" w:lineRule="auto"/>
        <w:contextualSpacing/>
        <w:rPr>
          <w:rFonts w:hint="default" w:ascii="Times New Roman" w:hAnsi="Times New Roman" w:eastAsia="等线" w:cs="Times New Roman"/>
          <w:b/>
          <w:bCs/>
          <w:i/>
          <w:iCs/>
          <w:sz w:val="20"/>
          <w:szCs w:val="20"/>
          <w:lang w:val="fr-FR" w:eastAsia="ko-KR"/>
        </w:rPr>
      </w:pPr>
      <w:r>
        <w:rPr>
          <w:rFonts w:hint="default" w:ascii="Times New Roman" w:hAnsi="Times New Roman" w:cs="Times New Roman"/>
          <w:b/>
          <w:bCs/>
          <w:i/>
          <w:iCs/>
          <w:sz w:val="20"/>
          <w:szCs w:val="20"/>
          <w:lang w:val="fr-FR" w:eastAsia="ko-KR"/>
        </w:rPr>
        <w:t>[N1, N2, P] = [2, 4, 2] (16 CSI-RS ports)</w:t>
      </w:r>
    </w:p>
    <w:p w14:paraId="550EFAAA">
      <w:pPr>
        <w:numPr>
          <w:ilvl w:val="0"/>
          <w:numId w:val="8"/>
        </w:numPr>
        <w:spacing w:after="160" w:line="276" w:lineRule="auto"/>
        <w:contextualSpacing/>
        <w:rPr>
          <w:rFonts w:hint="default" w:ascii="Times New Roman" w:hAnsi="Times New Roman" w:eastAsia="等线" w:cs="Times New Roman"/>
          <w:b/>
          <w:bCs/>
          <w:i/>
          <w:iCs/>
          <w:sz w:val="20"/>
          <w:szCs w:val="20"/>
          <w:lang w:eastAsia="ko-KR"/>
        </w:rPr>
      </w:pPr>
      <w:r>
        <w:rPr>
          <w:rFonts w:hint="default" w:ascii="Times New Roman" w:hAnsi="Times New Roman" w:eastAsia="等线" w:cs="Times New Roman"/>
          <w:b/>
          <w:bCs/>
          <w:i/>
          <w:iCs/>
          <w:sz w:val="20"/>
          <w:szCs w:val="20"/>
          <w:lang w:eastAsia="ko-KR"/>
        </w:rPr>
        <w:t>Bandwidth</w:t>
      </w:r>
      <w:r>
        <w:rPr>
          <w:rFonts w:hint="default" w:ascii="Times New Roman" w:hAnsi="Times New Roman" w:eastAsia="等线" w:cs="Times New Roman"/>
          <w:b/>
          <w:bCs/>
          <w:i/>
          <w:iCs/>
          <w:sz w:val="20"/>
          <w:szCs w:val="20"/>
          <w:lang w:eastAsia="zh-CN"/>
        </w:rPr>
        <w:t xml:space="preserve"> &amp; subband size</w:t>
      </w:r>
    </w:p>
    <w:p w14:paraId="4CE34B30">
      <w:pPr>
        <w:numPr>
          <w:ilvl w:val="1"/>
          <w:numId w:val="8"/>
        </w:numPr>
        <w:spacing w:after="160" w:line="276" w:lineRule="auto"/>
        <w:contextualSpacing/>
        <w:rPr>
          <w:rFonts w:hint="default" w:ascii="Times New Roman" w:hAnsi="Times New Roman" w:eastAsia="等线" w:cs="Times New Roman"/>
          <w:b/>
          <w:bCs/>
          <w:i/>
          <w:iCs/>
          <w:sz w:val="20"/>
          <w:szCs w:val="20"/>
          <w:lang w:eastAsia="ko-KR"/>
        </w:rPr>
      </w:pPr>
      <w:r>
        <w:rPr>
          <w:rFonts w:hint="default" w:ascii="Times New Roman" w:hAnsi="Times New Roman" w:eastAsia="等线" w:cs="Times New Roman"/>
          <w:b/>
          <w:bCs/>
          <w:i/>
          <w:iCs/>
          <w:sz w:val="20"/>
          <w:szCs w:val="20"/>
          <w:lang w:eastAsia="ko-KR"/>
        </w:rPr>
        <w:t>All subbands</w:t>
      </w:r>
    </w:p>
    <w:p w14:paraId="290EB8A6">
      <w:pPr>
        <w:numPr>
          <w:ilvl w:val="1"/>
          <w:numId w:val="8"/>
        </w:numPr>
        <w:spacing w:after="160" w:line="276" w:lineRule="auto"/>
        <w:contextualSpacing/>
        <w:rPr>
          <w:rFonts w:hint="default" w:ascii="Times New Roman" w:hAnsi="Times New Roman" w:eastAsia="等线" w:cs="Times New Roman"/>
          <w:b/>
          <w:bCs/>
          <w:i/>
          <w:iCs/>
          <w:sz w:val="20"/>
          <w:szCs w:val="20"/>
          <w:lang w:eastAsia="ko-KR"/>
        </w:rPr>
      </w:pPr>
      <w:r>
        <w:rPr>
          <w:rFonts w:hint="default" w:ascii="Times New Roman" w:hAnsi="Times New Roman" w:eastAsia="等线" w:cs="Times New Roman"/>
          <w:b/>
          <w:bCs/>
          <w:i/>
          <w:iCs/>
          <w:sz w:val="20"/>
          <w:szCs w:val="20"/>
          <w:lang w:eastAsia="zh-CN"/>
        </w:rPr>
        <w:t>A subset of all the subbands.</w:t>
      </w:r>
    </w:p>
    <w:p w14:paraId="4743966F">
      <w:pPr>
        <w:spacing w:after="180" w:line="240" w:lineRule="exact"/>
        <w:rPr>
          <w:rFonts w:hint="eastAsia" w:ascii="Times New Roman" w:hAnsi="Times New Roman" w:eastAsia="等线"/>
          <w:b/>
          <w:bCs/>
          <w:i/>
          <w:iCs/>
          <w:sz w:val="20"/>
          <w:szCs w:val="20"/>
          <w:lang w:val="en-US" w:eastAsia="zh-CN"/>
        </w:rPr>
      </w:pPr>
      <w:bookmarkStart w:id="9" w:name="_GoBack"/>
      <w:bookmarkEnd w:id="9"/>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8"/>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0736C57C">
      <w:pPr>
        <w:pStyle w:val="18"/>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0D366D1F">
      <w:pPr>
        <w:pStyle w:val="18"/>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R4-2401570</w:t>
      </w:r>
      <w:r>
        <w:rPr>
          <w:rFonts w:hint="eastAsia" w:ascii="Times" w:hAnsi="Times" w:eastAsia="宋体"/>
          <w:b w:val="0"/>
          <w:sz w:val="20"/>
          <w:lang w:val="en-US" w:eastAsia="zh-CN"/>
        </w:rPr>
        <w:t>, WF on AI/ML, Qualcomm Incorporated</w:t>
      </w:r>
    </w:p>
    <w:p w14:paraId="3C63F738">
      <w:pPr>
        <w:pStyle w:val="18"/>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w:t>
      </w:r>
    </w:p>
    <w:p w14:paraId="1B6067D0">
      <w:pPr>
        <w:pStyle w:val="18"/>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R4-2511849</w:t>
      </w:r>
      <w:r>
        <w:rPr>
          <w:rFonts w:hint="eastAsia" w:ascii="Times" w:hAnsi="Times" w:eastAsia="宋体"/>
          <w:b w:val="0"/>
          <w:sz w:val="20"/>
          <w:lang w:val="en-US" w:eastAsia="zh-CN"/>
        </w:rPr>
        <w:t>, WF on [116][132] NR_AIML_air_part2, Ericsson</w:t>
      </w:r>
    </w:p>
    <w:p w14:paraId="3E9138E2">
      <w:pPr>
        <w:pStyle w:val="18"/>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游明朝">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FF622A3"/>
    <w:multiLevelType w:val="multilevel"/>
    <w:tmpl w:val="2FF622A3"/>
    <w:lvl w:ilvl="0" w:tentative="0">
      <w:start w:val="0"/>
      <w:numFmt w:val="bullet"/>
      <w:lvlText w:val=""/>
      <w:lvlJc w:val="left"/>
      <w:pPr>
        <w:ind w:left="720" w:hanging="360"/>
      </w:pPr>
      <w:rPr>
        <w:rFonts w:hint="default" w:ascii="Symbol" w:hAnsi="Symbol" w:eastAsia="宋体" w:cs="等线"/>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63644F8"/>
    <w:multiLevelType w:val="multilevel"/>
    <w:tmpl w:val="463644F8"/>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4"/>
  </w:num>
  <w:num w:numId="3">
    <w:abstractNumId w:val="1"/>
  </w:num>
  <w:num w:numId="4">
    <w:abstractNumId w:val="6"/>
  </w:num>
  <w:num w:numId="5">
    <w:abstractNumId w:val="2"/>
  </w:num>
  <w:num w:numId="6">
    <w:abstractNumId w:val="7"/>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33C6CCE"/>
    <w:rsid w:val="041E7AB7"/>
    <w:rsid w:val="04AB06C0"/>
    <w:rsid w:val="04B0587E"/>
    <w:rsid w:val="04F47B1C"/>
    <w:rsid w:val="05FD1662"/>
    <w:rsid w:val="063103EA"/>
    <w:rsid w:val="065345EF"/>
    <w:rsid w:val="07AF30A6"/>
    <w:rsid w:val="084A6C23"/>
    <w:rsid w:val="08C01BD2"/>
    <w:rsid w:val="0A12645E"/>
    <w:rsid w:val="0A7A49BE"/>
    <w:rsid w:val="0BDF4286"/>
    <w:rsid w:val="0CFD51A3"/>
    <w:rsid w:val="0DE85960"/>
    <w:rsid w:val="0E2315D2"/>
    <w:rsid w:val="0EB3632D"/>
    <w:rsid w:val="0EEF4E8D"/>
    <w:rsid w:val="0FDE2595"/>
    <w:rsid w:val="0FE50EF5"/>
    <w:rsid w:val="107700EF"/>
    <w:rsid w:val="13156148"/>
    <w:rsid w:val="151A3F0B"/>
    <w:rsid w:val="15685863"/>
    <w:rsid w:val="156D67CC"/>
    <w:rsid w:val="15774DC7"/>
    <w:rsid w:val="158970AB"/>
    <w:rsid w:val="15C5068C"/>
    <w:rsid w:val="16967F0A"/>
    <w:rsid w:val="16C20D68"/>
    <w:rsid w:val="17EE3251"/>
    <w:rsid w:val="1869036D"/>
    <w:rsid w:val="18C26AAD"/>
    <w:rsid w:val="19D35C0A"/>
    <w:rsid w:val="1A4B52AF"/>
    <w:rsid w:val="1B097409"/>
    <w:rsid w:val="1B8C2C7D"/>
    <w:rsid w:val="1BDE38AF"/>
    <w:rsid w:val="1C79747B"/>
    <w:rsid w:val="1D1B764B"/>
    <w:rsid w:val="1F423097"/>
    <w:rsid w:val="200653B6"/>
    <w:rsid w:val="202D5DF0"/>
    <w:rsid w:val="20576A8F"/>
    <w:rsid w:val="21A25EC1"/>
    <w:rsid w:val="21CD1190"/>
    <w:rsid w:val="22C91E20"/>
    <w:rsid w:val="233F4A51"/>
    <w:rsid w:val="239448A4"/>
    <w:rsid w:val="245C2C9F"/>
    <w:rsid w:val="24BB4727"/>
    <w:rsid w:val="250671CD"/>
    <w:rsid w:val="25830931"/>
    <w:rsid w:val="259C54CD"/>
    <w:rsid w:val="26944BFD"/>
    <w:rsid w:val="27BB3844"/>
    <w:rsid w:val="295E6B72"/>
    <w:rsid w:val="2DD14D37"/>
    <w:rsid w:val="2EC43DB8"/>
    <w:rsid w:val="2F3D3244"/>
    <w:rsid w:val="308E7578"/>
    <w:rsid w:val="309A667E"/>
    <w:rsid w:val="311F0FAA"/>
    <w:rsid w:val="3159659D"/>
    <w:rsid w:val="31C72739"/>
    <w:rsid w:val="32420EA7"/>
    <w:rsid w:val="32717C27"/>
    <w:rsid w:val="3295408B"/>
    <w:rsid w:val="33076BD7"/>
    <w:rsid w:val="36311397"/>
    <w:rsid w:val="36915B95"/>
    <w:rsid w:val="36D5158E"/>
    <w:rsid w:val="372F00FC"/>
    <w:rsid w:val="39616E69"/>
    <w:rsid w:val="397B647A"/>
    <w:rsid w:val="39DC502A"/>
    <w:rsid w:val="3A2D7A1A"/>
    <w:rsid w:val="3A692ADF"/>
    <w:rsid w:val="3A923B26"/>
    <w:rsid w:val="3ABD5C6D"/>
    <w:rsid w:val="3ACA0A98"/>
    <w:rsid w:val="3ACA3C80"/>
    <w:rsid w:val="3ADD5C61"/>
    <w:rsid w:val="3B8E7980"/>
    <w:rsid w:val="3CA05E05"/>
    <w:rsid w:val="3D0535AB"/>
    <w:rsid w:val="3DEB4836"/>
    <w:rsid w:val="3DEF01B7"/>
    <w:rsid w:val="3E2541EE"/>
    <w:rsid w:val="3FB76397"/>
    <w:rsid w:val="402E3A57"/>
    <w:rsid w:val="40905E46"/>
    <w:rsid w:val="41C815FA"/>
    <w:rsid w:val="421A2D76"/>
    <w:rsid w:val="42830949"/>
    <w:rsid w:val="42E06053"/>
    <w:rsid w:val="43FC159A"/>
    <w:rsid w:val="45185DAE"/>
    <w:rsid w:val="4582291E"/>
    <w:rsid w:val="465D5FD1"/>
    <w:rsid w:val="46A636F7"/>
    <w:rsid w:val="476218AB"/>
    <w:rsid w:val="47F77D5E"/>
    <w:rsid w:val="4815134F"/>
    <w:rsid w:val="49574F07"/>
    <w:rsid w:val="4AD27C51"/>
    <w:rsid w:val="4B16773E"/>
    <w:rsid w:val="4B525B6F"/>
    <w:rsid w:val="4BF70D1F"/>
    <w:rsid w:val="4C147660"/>
    <w:rsid w:val="4C3933BB"/>
    <w:rsid w:val="4C9C083E"/>
    <w:rsid w:val="4D115B26"/>
    <w:rsid w:val="4D3D03C8"/>
    <w:rsid w:val="4D4D0662"/>
    <w:rsid w:val="4D85114F"/>
    <w:rsid w:val="4F234726"/>
    <w:rsid w:val="519613CC"/>
    <w:rsid w:val="5217567C"/>
    <w:rsid w:val="52DB3750"/>
    <w:rsid w:val="53AA57A5"/>
    <w:rsid w:val="549E0D64"/>
    <w:rsid w:val="563034C0"/>
    <w:rsid w:val="566930C6"/>
    <w:rsid w:val="56CD4670"/>
    <w:rsid w:val="56F77C07"/>
    <w:rsid w:val="57B0086C"/>
    <w:rsid w:val="57FF46CB"/>
    <w:rsid w:val="585844FD"/>
    <w:rsid w:val="5879537F"/>
    <w:rsid w:val="59034374"/>
    <w:rsid w:val="590A2003"/>
    <w:rsid w:val="5999038C"/>
    <w:rsid w:val="5A5907CA"/>
    <w:rsid w:val="5A715FC6"/>
    <w:rsid w:val="5AC558FB"/>
    <w:rsid w:val="5AC66592"/>
    <w:rsid w:val="5B146E30"/>
    <w:rsid w:val="5B2B0B23"/>
    <w:rsid w:val="5CBC141D"/>
    <w:rsid w:val="5D0B4E13"/>
    <w:rsid w:val="5DE0757A"/>
    <w:rsid w:val="5DE63D68"/>
    <w:rsid w:val="5E08401F"/>
    <w:rsid w:val="5E145FE7"/>
    <w:rsid w:val="5E2B562E"/>
    <w:rsid w:val="5E47553D"/>
    <w:rsid w:val="5E6261E1"/>
    <w:rsid w:val="5EC3209F"/>
    <w:rsid w:val="5ED80E84"/>
    <w:rsid w:val="5F783E00"/>
    <w:rsid w:val="5FEE32EF"/>
    <w:rsid w:val="62A95749"/>
    <w:rsid w:val="62D046AC"/>
    <w:rsid w:val="62EE1251"/>
    <w:rsid w:val="634877EE"/>
    <w:rsid w:val="644D521F"/>
    <w:rsid w:val="65674A25"/>
    <w:rsid w:val="6731395C"/>
    <w:rsid w:val="67695C6E"/>
    <w:rsid w:val="67B46602"/>
    <w:rsid w:val="68CA01FA"/>
    <w:rsid w:val="69567192"/>
    <w:rsid w:val="6A3A3665"/>
    <w:rsid w:val="6A52659E"/>
    <w:rsid w:val="6B870356"/>
    <w:rsid w:val="6BE35B73"/>
    <w:rsid w:val="6C2143D4"/>
    <w:rsid w:val="6CCE4B92"/>
    <w:rsid w:val="6D026C8E"/>
    <w:rsid w:val="6D092287"/>
    <w:rsid w:val="6D205895"/>
    <w:rsid w:val="6D7E0FF0"/>
    <w:rsid w:val="6DF758F9"/>
    <w:rsid w:val="70D64348"/>
    <w:rsid w:val="720D5752"/>
    <w:rsid w:val="731743ED"/>
    <w:rsid w:val="73D04B2A"/>
    <w:rsid w:val="740D27BD"/>
    <w:rsid w:val="74126C56"/>
    <w:rsid w:val="74C23D1D"/>
    <w:rsid w:val="75886832"/>
    <w:rsid w:val="773771F4"/>
    <w:rsid w:val="79263F52"/>
    <w:rsid w:val="7AA34743"/>
    <w:rsid w:val="7AC06311"/>
    <w:rsid w:val="7B750329"/>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qFormat/>
    <w:uiPriority w:val="0"/>
    <w:pPr>
      <w:numPr>
        <w:ilvl w:val="2"/>
      </w:numPr>
      <w:tabs>
        <w:tab w:val="left" w:pos="1146"/>
      </w:tabs>
      <w:spacing w:before="120"/>
      <w:outlineLvl w:val="2"/>
    </w:pPr>
    <w:rPr>
      <w:sz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semiHidden/>
    <w:qFormat/>
    <w:uiPriority w:val="99"/>
    <w:rPr>
      <w:sz w:val="16"/>
    </w:r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TH"/>
    <w:basedOn w:val="1"/>
    <w:qFormat/>
    <w:uiPriority w:val="0"/>
    <w:pPr>
      <w:keepNext/>
      <w:keepLines/>
      <w:spacing w:before="60"/>
      <w:jc w:val="center"/>
    </w:pPr>
    <w:rPr>
      <w:rFonts w:ascii="Arial" w:hAnsi="Arial"/>
      <w:b/>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rPr>
  </w:style>
  <w:style w:type="paragraph" w:customStyle="1" w:styleId="23">
    <w:name w:val="TAN"/>
    <w:basedOn w:val="22"/>
    <w:qFormat/>
    <w:uiPriority w:val="0"/>
    <w:pPr>
      <w:ind w:left="851" w:hanging="851"/>
    </w:pPr>
  </w:style>
  <w:style w:type="paragraph" w:customStyle="1" w:styleId="24">
    <w:name w:val="B1"/>
    <w:basedOn w:val="7"/>
    <w:qFormat/>
    <w:uiPriority w:val="0"/>
  </w:style>
  <w:style w:type="paragraph" w:customStyle="1" w:styleId="25">
    <w:name w:val="B2"/>
    <w:basedOn w:val="6"/>
    <w:qFormat/>
    <w:uiPriority w:val="0"/>
  </w:style>
  <w:style w:type="paragraph" w:customStyle="1" w:styleId="26">
    <w:name w:val="B3"/>
    <w:basedOn w:val="5"/>
    <w:qFormat/>
    <w:uiPriority w:val="0"/>
  </w:style>
  <w:style w:type="paragraph" w:customStyle="1" w:styleId="27">
    <w:name w:val="TF"/>
    <w:basedOn w:val="19"/>
    <w:qFormat/>
    <w:uiPriority w:val="0"/>
    <w:pPr>
      <w:keepNext w:val="0"/>
      <w:spacing w:before="0" w:after="2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2025-11-07T07:35:20Z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